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FB8B6">
      <w:pPr>
        <w:tabs>
          <w:tab w:val="left" w:pos="7567"/>
        </w:tabs>
        <w:spacing w:line="360" w:lineRule="auto"/>
        <w:jc w:val="center"/>
        <w:rPr>
          <w:rFonts w:hint="eastAsia" w:eastAsia="宋体" w:cs="宋体"/>
          <w:b/>
          <w:sz w:val="56"/>
          <w:szCs w:val="56"/>
          <w:lang w:val="en-US" w:eastAsia="zh-CN"/>
        </w:rPr>
      </w:pPr>
      <w:bookmarkStart w:id="0" w:name="OLE_LINK1"/>
      <w:bookmarkStart w:id="1" w:name="OLE_LINK3"/>
      <w:r>
        <w:rPr>
          <w:rFonts w:hint="eastAsia" w:eastAsia="宋体" w:cs="宋体"/>
          <w:b/>
          <w:sz w:val="48"/>
          <w:szCs w:val="48"/>
          <w:lang w:val="en-US" w:eastAsia="zh-CN"/>
        </w:rPr>
        <w:t>许昌市文化投资有限责任公司</w:t>
      </w:r>
      <w:bookmarkEnd w:id="0"/>
      <w:r>
        <w:rPr>
          <w:rFonts w:hint="eastAsia" w:eastAsia="宋体" w:cs="宋体"/>
          <w:b/>
          <w:sz w:val="48"/>
          <w:szCs w:val="48"/>
          <w:lang w:val="en-US" w:eastAsia="zh-CN"/>
        </w:rPr>
        <w:t>“春秋楼关圣殿数字化工程项目投影机采购”</w:t>
      </w:r>
    </w:p>
    <w:bookmarkEnd w:id="1"/>
    <w:p w14:paraId="5C9D9DAE">
      <w:pPr>
        <w:jc w:val="center"/>
        <w:rPr>
          <w:rFonts w:ascii="宋体" w:hAnsi="宋体"/>
          <w:b/>
          <w:bCs/>
          <w:color w:val="auto"/>
          <w:sz w:val="72"/>
          <w:szCs w:val="72"/>
          <w:highlight w:val="none"/>
        </w:rPr>
      </w:pPr>
    </w:p>
    <w:p w14:paraId="75D493D2">
      <w:pPr>
        <w:rPr>
          <w:rFonts w:ascii="微软简隶书" w:eastAsia="微软简隶书"/>
          <w:color w:val="auto"/>
          <w:highlight w:val="none"/>
        </w:rPr>
      </w:pPr>
    </w:p>
    <w:p w14:paraId="0756037D">
      <w:pPr>
        <w:rPr>
          <w:rFonts w:ascii="微软简隶书" w:eastAsia="微软简隶书"/>
          <w:color w:val="auto"/>
          <w:highlight w:val="none"/>
        </w:rPr>
      </w:pPr>
    </w:p>
    <w:p w14:paraId="337B0243">
      <w:pPr>
        <w:jc w:val="center"/>
        <w:rPr>
          <w:rFonts w:ascii="宋体" w:hAnsi="宋体"/>
          <w:bCs/>
          <w:color w:val="auto"/>
          <w:w w:val="90"/>
          <w:sz w:val="60"/>
          <w:szCs w:val="60"/>
          <w:highlight w:val="none"/>
        </w:rPr>
      </w:pPr>
      <w:r>
        <w:rPr>
          <w:rFonts w:hint="eastAsia" w:ascii="宋体" w:hAnsi="宋体"/>
          <w:bCs/>
          <w:color w:val="auto"/>
          <w:w w:val="90"/>
          <w:sz w:val="60"/>
          <w:szCs w:val="60"/>
          <w:highlight w:val="none"/>
        </w:rPr>
        <w:t>竞争性磋商文件</w:t>
      </w:r>
    </w:p>
    <w:p w14:paraId="38DEBE7E">
      <w:pPr>
        <w:rPr>
          <w:rFonts w:ascii="微软简隶书" w:eastAsia="微软简隶书"/>
          <w:color w:val="auto"/>
          <w:highlight w:val="none"/>
        </w:rPr>
      </w:pPr>
    </w:p>
    <w:p w14:paraId="00F4DF61">
      <w:pPr>
        <w:spacing w:line="360" w:lineRule="auto"/>
        <w:jc w:val="center"/>
        <w:rPr>
          <w:rFonts w:hint="eastAsia" w:ascii="楷体_GB2312" w:hAnsi="宋体" w:eastAsia="楷体_GB2312"/>
          <w:b/>
          <w:color w:val="auto"/>
          <w:sz w:val="28"/>
          <w:highlight w:val="none"/>
          <w:lang w:eastAsia="zh-CN"/>
        </w:rPr>
      </w:pPr>
      <w:r>
        <w:rPr>
          <w:rFonts w:hint="eastAsia" w:ascii="楷体_GB2312" w:hAnsi="宋体" w:eastAsia="楷体_GB2312"/>
          <w:b/>
          <w:color w:val="auto"/>
          <w:sz w:val="28"/>
          <w:highlight w:val="none"/>
        </w:rPr>
        <w:t>项目编号：</w:t>
      </w:r>
      <w:r>
        <w:rPr>
          <w:rFonts w:hint="eastAsia" w:ascii="楷体_GB2312" w:hAnsi="宋体" w:eastAsia="楷体_GB2312"/>
          <w:b/>
          <w:color w:val="auto"/>
          <w:sz w:val="28"/>
          <w:highlight w:val="none"/>
          <w:lang w:eastAsia="zh-CN"/>
        </w:rPr>
        <w:t>HNYM-C202</w:t>
      </w:r>
      <w:r>
        <w:rPr>
          <w:rFonts w:hint="eastAsia" w:ascii="楷体_GB2312" w:hAnsi="宋体" w:eastAsia="楷体_GB2312"/>
          <w:b/>
          <w:color w:val="auto"/>
          <w:sz w:val="28"/>
          <w:highlight w:val="none"/>
          <w:lang w:val="en-US" w:eastAsia="zh-CN"/>
        </w:rPr>
        <w:t>4</w:t>
      </w:r>
      <w:r>
        <w:rPr>
          <w:rFonts w:hint="eastAsia" w:ascii="楷体_GB2312" w:hAnsi="宋体" w:eastAsia="楷体_GB2312"/>
          <w:b/>
          <w:color w:val="auto"/>
          <w:sz w:val="28"/>
          <w:highlight w:val="none"/>
          <w:lang w:eastAsia="zh-CN"/>
        </w:rPr>
        <w:t>0</w:t>
      </w:r>
      <w:r>
        <w:rPr>
          <w:rFonts w:hint="eastAsia" w:ascii="楷体_GB2312" w:hAnsi="宋体" w:eastAsia="楷体_GB2312"/>
          <w:b/>
          <w:color w:val="auto"/>
          <w:sz w:val="28"/>
          <w:highlight w:val="none"/>
          <w:lang w:val="en-US" w:eastAsia="zh-CN"/>
        </w:rPr>
        <w:t>25</w:t>
      </w:r>
      <w:r>
        <w:rPr>
          <w:rFonts w:hint="eastAsia" w:ascii="楷体_GB2312" w:hAnsi="宋体" w:eastAsia="楷体_GB2312"/>
          <w:b/>
          <w:color w:val="auto"/>
          <w:sz w:val="28"/>
          <w:highlight w:val="none"/>
          <w:lang w:eastAsia="zh-CN"/>
        </w:rPr>
        <w:t>号</w:t>
      </w:r>
    </w:p>
    <w:p w14:paraId="10B84FFA">
      <w:pPr>
        <w:rPr>
          <w:rFonts w:ascii="微软简隶书" w:eastAsia="微软简隶书"/>
          <w:color w:val="auto"/>
          <w:highlight w:val="none"/>
        </w:rPr>
      </w:pPr>
    </w:p>
    <w:p w14:paraId="460BD763">
      <w:pPr>
        <w:rPr>
          <w:rFonts w:ascii="微软简隶书" w:eastAsia="微软简隶书"/>
          <w:color w:val="auto"/>
          <w:highlight w:val="none"/>
        </w:rPr>
      </w:pPr>
    </w:p>
    <w:p w14:paraId="1DB3CEDA">
      <w:pPr>
        <w:rPr>
          <w:rFonts w:ascii="微软简隶书" w:eastAsia="微软简隶书"/>
          <w:color w:val="auto"/>
          <w:highlight w:val="none"/>
        </w:rPr>
      </w:pPr>
    </w:p>
    <w:p w14:paraId="03F44778">
      <w:pPr>
        <w:rPr>
          <w:rFonts w:ascii="微软简隶书" w:eastAsia="微软简隶书"/>
          <w:color w:val="auto"/>
          <w:highlight w:val="none"/>
        </w:rPr>
      </w:pPr>
    </w:p>
    <w:p w14:paraId="294A1B58">
      <w:pPr>
        <w:pStyle w:val="6"/>
        <w:numPr>
          <w:ilvl w:val="3"/>
          <w:numId w:val="0"/>
        </w:numPr>
        <w:rPr>
          <w:color w:val="auto"/>
          <w:highlight w:val="none"/>
        </w:rPr>
      </w:pPr>
    </w:p>
    <w:p w14:paraId="1FBB0EFC">
      <w:pPr>
        <w:rPr>
          <w:rFonts w:ascii="微软简隶书" w:eastAsia="微软简隶书"/>
          <w:color w:val="auto"/>
          <w:highlight w:val="none"/>
        </w:rPr>
      </w:pPr>
    </w:p>
    <w:p w14:paraId="2AC7E4E6">
      <w:pPr>
        <w:rPr>
          <w:rFonts w:ascii="微软简隶书" w:eastAsia="微软简隶书"/>
          <w:color w:val="auto"/>
          <w:highlight w:val="none"/>
        </w:rPr>
      </w:pPr>
    </w:p>
    <w:p w14:paraId="3E925681">
      <w:pPr>
        <w:rPr>
          <w:rFonts w:ascii="微软简隶书" w:eastAsia="微软简隶书"/>
          <w:color w:val="auto"/>
          <w:highlight w:val="none"/>
        </w:rPr>
      </w:pPr>
    </w:p>
    <w:p w14:paraId="50F61E22">
      <w:pPr>
        <w:rPr>
          <w:rFonts w:ascii="微软简隶书" w:eastAsia="微软简隶书"/>
          <w:color w:val="auto"/>
          <w:highlight w:val="none"/>
        </w:rPr>
      </w:pPr>
    </w:p>
    <w:p w14:paraId="2CF4A246">
      <w:pPr>
        <w:rPr>
          <w:rFonts w:ascii="宋体" w:hAnsi="宋体"/>
          <w:b/>
          <w:bCs/>
          <w:color w:val="auto"/>
          <w:sz w:val="36"/>
          <w:szCs w:val="36"/>
          <w:highlight w:val="none"/>
        </w:rPr>
      </w:pPr>
    </w:p>
    <w:p w14:paraId="7C9CBC2A">
      <w:pPr>
        <w:rPr>
          <w:rFonts w:ascii="宋体" w:hAnsi="宋体"/>
          <w:b/>
          <w:bCs/>
          <w:color w:val="auto"/>
          <w:sz w:val="36"/>
          <w:szCs w:val="36"/>
          <w:highlight w:val="none"/>
        </w:rPr>
      </w:pPr>
    </w:p>
    <w:p w14:paraId="201356A5">
      <w:pPr>
        <w:spacing w:line="360" w:lineRule="auto"/>
        <w:ind w:firstLine="1445" w:firstLineChars="400"/>
        <w:jc w:val="both"/>
        <w:rPr>
          <w:rFonts w:hint="eastAsia" w:ascii="宋体" w:hAnsi="宋体"/>
          <w:b/>
          <w:color w:val="auto"/>
          <w:sz w:val="32"/>
          <w:szCs w:val="32"/>
          <w:highlight w:val="none"/>
        </w:rPr>
      </w:pPr>
      <w:r>
        <w:rPr>
          <w:rFonts w:hint="eastAsia" w:ascii="宋体" w:hAnsi="宋体"/>
          <w:b/>
          <w:color w:val="auto"/>
          <w:spacing w:val="20"/>
          <w:sz w:val="32"/>
          <w:szCs w:val="32"/>
          <w:highlight w:val="none"/>
        </w:rPr>
        <w:t>采 购 人</w:t>
      </w:r>
      <w:r>
        <w:rPr>
          <w:rFonts w:hint="eastAsia" w:ascii="宋体" w:hAnsi="宋体"/>
          <w:b/>
          <w:color w:val="auto"/>
          <w:sz w:val="32"/>
          <w:szCs w:val="32"/>
          <w:highlight w:val="none"/>
        </w:rPr>
        <w:t>：</w:t>
      </w:r>
      <w:bookmarkStart w:id="2" w:name="OLE_LINK2"/>
      <w:r>
        <w:rPr>
          <w:rFonts w:hint="eastAsia" w:ascii="宋体" w:hAnsi="宋体"/>
          <w:b/>
          <w:color w:val="auto"/>
          <w:sz w:val="32"/>
          <w:szCs w:val="32"/>
          <w:highlight w:val="none"/>
          <w:lang w:val="en-US" w:eastAsia="zh-CN"/>
        </w:rPr>
        <w:t>许昌市文化投资有限责任公司</w:t>
      </w:r>
      <w:bookmarkEnd w:id="2"/>
    </w:p>
    <w:p w14:paraId="3DA1C829">
      <w:pPr>
        <w:pStyle w:val="11"/>
        <w:rPr>
          <w:rFonts w:hint="eastAsia"/>
          <w:lang w:eastAsia="zh-CN"/>
        </w:rPr>
      </w:pPr>
    </w:p>
    <w:p w14:paraId="49D54C16">
      <w:pPr>
        <w:spacing w:line="360" w:lineRule="auto"/>
        <w:jc w:val="left"/>
        <w:rPr>
          <w:rFonts w:ascii="宋体" w:hAnsi="宋体"/>
          <w:b/>
          <w:color w:val="auto"/>
          <w:sz w:val="32"/>
          <w:szCs w:val="32"/>
          <w:highlight w:val="none"/>
        </w:rPr>
      </w:pPr>
      <w:r>
        <w:rPr>
          <w:rFonts w:hint="eastAsia" w:ascii="宋体" w:hAnsi="宋体"/>
          <w:b/>
          <w:color w:val="auto"/>
          <w:sz w:val="32"/>
          <w:szCs w:val="32"/>
          <w:highlight w:val="none"/>
        </w:rPr>
        <w:t xml:space="preserve">         代理 机构：河南永明工程管理有限公司</w:t>
      </w:r>
    </w:p>
    <w:p w14:paraId="51ED447A">
      <w:pPr>
        <w:jc w:val="center"/>
        <w:rPr>
          <w:rFonts w:hint="eastAsia" w:ascii="宋体" w:hAnsi="宋体"/>
          <w:b/>
          <w:bCs/>
          <w:color w:val="auto"/>
          <w:sz w:val="32"/>
          <w:szCs w:val="32"/>
          <w:highlight w:val="none"/>
        </w:rPr>
      </w:pPr>
      <w:r>
        <w:rPr>
          <w:rFonts w:hint="eastAsia" w:ascii="宋体" w:hAnsi="宋体"/>
          <w:b/>
          <w:bCs/>
          <w:color w:val="auto"/>
          <w:sz w:val="32"/>
          <w:szCs w:val="32"/>
          <w:highlight w:val="none"/>
        </w:rPr>
        <w:t xml:space="preserve">  </w:t>
      </w:r>
    </w:p>
    <w:p w14:paraId="61BD9017">
      <w:pPr>
        <w:jc w:val="center"/>
        <w:rPr>
          <w:rFonts w:ascii="宋体" w:hAnsi="宋体"/>
          <w:b/>
          <w:bCs/>
          <w:color w:val="auto"/>
          <w:sz w:val="32"/>
          <w:szCs w:val="32"/>
          <w:highlight w:val="none"/>
        </w:rPr>
      </w:pPr>
      <w:r>
        <w:rPr>
          <w:rFonts w:hint="eastAsia" w:ascii="宋体" w:hAnsi="宋体"/>
          <w:b/>
          <w:bCs/>
          <w:color w:val="auto"/>
          <w:sz w:val="32"/>
          <w:szCs w:val="32"/>
          <w:highlight w:val="none"/>
        </w:rPr>
        <w:t xml:space="preserve">   二〇二</w:t>
      </w:r>
      <w:r>
        <w:rPr>
          <w:rFonts w:hint="eastAsia" w:ascii="宋体" w:hAnsi="宋体"/>
          <w:b/>
          <w:bCs/>
          <w:color w:val="auto"/>
          <w:sz w:val="32"/>
          <w:szCs w:val="32"/>
          <w:highlight w:val="none"/>
          <w:lang w:val="en-US" w:eastAsia="zh-CN"/>
        </w:rPr>
        <w:t>四</w:t>
      </w:r>
      <w:r>
        <w:rPr>
          <w:rFonts w:hint="eastAsia" w:ascii="宋体" w:hAnsi="宋体"/>
          <w:b/>
          <w:bCs/>
          <w:color w:val="auto"/>
          <w:sz w:val="32"/>
          <w:szCs w:val="32"/>
          <w:highlight w:val="none"/>
        </w:rPr>
        <w:t>年</w:t>
      </w:r>
      <w:r>
        <w:rPr>
          <w:rFonts w:hint="eastAsia" w:ascii="宋体" w:hAnsi="宋体"/>
          <w:b/>
          <w:bCs/>
          <w:color w:val="auto"/>
          <w:sz w:val="32"/>
          <w:szCs w:val="32"/>
          <w:highlight w:val="none"/>
          <w:lang w:val="en-US" w:eastAsia="zh-CN"/>
        </w:rPr>
        <w:t>九</w:t>
      </w:r>
      <w:r>
        <w:rPr>
          <w:rFonts w:hint="eastAsia" w:ascii="宋体" w:hAnsi="宋体"/>
          <w:b/>
          <w:bCs/>
          <w:color w:val="auto"/>
          <w:sz w:val="32"/>
          <w:szCs w:val="32"/>
          <w:highlight w:val="none"/>
        </w:rPr>
        <w:t>月</w:t>
      </w:r>
    </w:p>
    <w:p w14:paraId="4511701C">
      <w:pPr>
        <w:autoSpaceDE w:val="0"/>
        <w:autoSpaceDN w:val="0"/>
        <w:adjustRightInd w:val="0"/>
        <w:spacing w:line="700" w:lineRule="exact"/>
        <w:jc w:val="center"/>
        <w:rPr>
          <w:rFonts w:ascii="宋体" w:hAnsi="宋体"/>
          <w:b/>
          <w:color w:val="auto"/>
          <w:kern w:val="0"/>
          <w:sz w:val="44"/>
          <w:szCs w:val="44"/>
          <w:highlight w:val="none"/>
        </w:rPr>
      </w:pPr>
      <w:r>
        <w:rPr>
          <w:rFonts w:hint="eastAsia" w:ascii="宋体" w:hAnsi="宋体"/>
          <w:b/>
          <w:color w:val="auto"/>
          <w:kern w:val="0"/>
          <w:sz w:val="44"/>
          <w:szCs w:val="44"/>
          <w:highlight w:val="none"/>
        </w:rPr>
        <w:br w:type="page"/>
      </w:r>
      <w:r>
        <w:rPr>
          <w:rFonts w:hint="eastAsia" w:ascii="宋体" w:hAnsi="宋体"/>
          <w:b/>
          <w:color w:val="auto"/>
          <w:kern w:val="0"/>
          <w:sz w:val="44"/>
          <w:szCs w:val="44"/>
          <w:highlight w:val="none"/>
        </w:rPr>
        <w:t>目    录</w:t>
      </w:r>
    </w:p>
    <w:p w14:paraId="1C423CBA">
      <w:pPr>
        <w:autoSpaceDE w:val="0"/>
        <w:autoSpaceDN w:val="0"/>
        <w:adjustRightInd w:val="0"/>
        <w:spacing w:line="700" w:lineRule="exact"/>
        <w:ind w:firstLine="551"/>
        <w:rPr>
          <w:rFonts w:ascii="宋体" w:hAnsi="宋体"/>
          <w:b/>
          <w:bCs/>
          <w:color w:val="auto"/>
          <w:sz w:val="32"/>
          <w:szCs w:val="32"/>
          <w:highlight w:val="none"/>
          <w:lang w:val="zh-CN"/>
        </w:rPr>
      </w:pPr>
    </w:p>
    <w:p w14:paraId="6FA57107">
      <w:pPr>
        <w:autoSpaceDE w:val="0"/>
        <w:autoSpaceDN w:val="0"/>
        <w:adjustRightInd w:val="0"/>
        <w:spacing w:line="700" w:lineRule="exact"/>
        <w:ind w:firstLine="551"/>
        <w:rPr>
          <w:rFonts w:ascii="宋体" w:hAnsi="宋体"/>
          <w:b/>
          <w:bCs/>
          <w:color w:val="auto"/>
          <w:sz w:val="30"/>
          <w:szCs w:val="30"/>
          <w:highlight w:val="none"/>
          <w:lang w:val="zh-CN"/>
        </w:rPr>
      </w:pPr>
      <w:r>
        <w:rPr>
          <w:rFonts w:hint="eastAsia" w:ascii="宋体" w:hAnsi="宋体"/>
          <w:b/>
          <w:bCs/>
          <w:color w:val="auto"/>
          <w:sz w:val="30"/>
          <w:szCs w:val="30"/>
          <w:highlight w:val="none"/>
          <w:lang w:val="zh-CN"/>
        </w:rPr>
        <w:t>第一章 采购邀请</w:t>
      </w:r>
    </w:p>
    <w:p w14:paraId="03088A8D">
      <w:pPr>
        <w:autoSpaceDE w:val="0"/>
        <w:autoSpaceDN w:val="0"/>
        <w:adjustRightInd w:val="0"/>
        <w:spacing w:line="700" w:lineRule="exact"/>
        <w:ind w:firstLine="551"/>
        <w:rPr>
          <w:rFonts w:ascii="宋体" w:hAnsi="宋体"/>
          <w:b/>
          <w:bCs/>
          <w:color w:val="auto"/>
          <w:sz w:val="30"/>
          <w:szCs w:val="30"/>
          <w:highlight w:val="none"/>
          <w:lang w:val="zh-CN"/>
        </w:rPr>
      </w:pPr>
      <w:r>
        <w:rPr>
          <w:rFonts w:hint="eastAsia" w:ascii="宋体" w:hAnsi="宋体"/>
          <w:b/>
          <w:bCs/>
          <w:color w:val="auto"/>
          <w:sz w:val="30"/>
          <w:szCs w:val="30"/>
          <w:highlight w:val="none"/>
          <w:lang w:val="zh-CN"/>
        </w:rPr>
        <w:t>第二章 采购需求</w:t>
      </w:r>
    </w:p>
    <w:p w14:paraId="60828D4E">
      <w:pPr>
        <w:autoSpaceDE w:val="0"/>
        <w:autoSpaceDN w:val="0"/>
        <w:adjustRightInd w:val="0"/>
        <w:spacing w:line="700" w:lineRule="exact"/>
        <w:ind w:firstLine="560"/>
        <w:rPr>
          <w:rFonts w:ascii="宋体" w:hAnsi="宋体"/>
          <w:b/>
          <w:color w:val="auto"/>
          <w:kern w:val="0"/>
          <w:sz w:val="30"/>
          <w:szCs w:val="30"/>
          <w:highlight w:val="none"/>
        </w:rPr>
      </w:pPr>
      <w:r>
        <w:rPr>
          <w:rFonts w:hint="eastAsia" w:ascii="宋体" w:hAnsi="宋体"/>
          <w:b/>
          <w:bCs/>
          <w:color w:val="auto"/>
          <w:sz w:val="30"/>
          <w:szCs w:val="30"/>
          <w:highlight w:val="none"/>
          <w:lang w:val="zh-CN"/>
        </w:rPr>
        <w:t xml:space="preserve">第三章 </w:t>
      </w:r>
      <w:r>
        <w:rPr>
          <w:rFonts w:hint="eastAsia" w:ascii="宋体" w:hAnsi="宋体"/>
          <w:b/>
          <w:color w:val="auto"/>
          <w:kern w:val="0"/>
          <w:sz w:val="30"/>
          <w:szCs w:val="30"/>
          <w:highlight w:val="none"/>
        </w:rPr>
        <w:t>供应商须知前附表</w:t>
      </w:r>
    </w:p>
    <w:p w14:paraId="6C034B6C">
      <w:pPr>
        <w:autoSpaceDE w:val="0"/>
        <w:autoSpaceDN w:val="0"/>
        <w:adjustRightInd w:val="0"/>
        <w:spacing w:line="700" w:lineRule="exact"/>
        <w:ind w:firstLine="560"/>
        <w:rPr>
          <w:rFonts w:ascii="宋体" w:hAnsi="宋体"/>
          <w:b/>
          <w:color w:val="auto"/>
          <w:kern w:val="0"/>
          <w:sz w:val="30"/>
          <w:szCs w:val="30"/>
          <w:highlight w:val="none"/>
        </w:rPr>
      </w:pPr>
      <w:r>
        <w:rPr>
          <w:rFonts w:hint="eastAsia" w:ascii="宋体" w:hAnsi="宋体"/>
          <w:b/>
          <w:bCs/>
          <w:color w:val="auto"/>
          <w:sz w:val="30"/>
          <w:szCs w:val="30"/>
          <w:highlight w:val="none"/>
          <w:lang w:val="zh-CN"/>
        </w:rPr>
        <w:t xml:space="preserve">第四章 </w:t>
      </w:r>
      <w:r>
        <w:rPr>
          <w:rFonts w:hint="eastAsia" w:ascii="宋体" w:hAnsi="宋体"/>
          <w:b/>
          <w:color w:val="auto"/>
          <w:kern w:val="0"/>
          <w:sz w:val="30"/>
          <w:szCs w:val="30"/>
          <w:highlight w:val="none"/>
        </w:rPr>
        <w:t>供应商须知</w:t>
      </w:r>
    </w:p>
    <w:p w14:paraId="539D0626">
      <w:pPr>
        <w:autoSpaceDE w:val="0"/>
        <w:autoSpaceDN w:val="0"/>
        <w:adjustRightInd w:val="0"/>
        <w:spacing w:line="700" w:lineRule="exact"/>
        <w:ind w:firstLine="560"/>
        <w:rPr>
          <w:rFonts w:ascii="宋体" w:hAnsi="宋体"/>
          <w:color w:val="auto"/>
          <w:sz w:val="30"/>
          <w:szCs w:val="30"/>
          <w:highlight w:val="none"/>
          <w:lang w:val="zh-CN"/>
        </w:rPr>
      </w:pPr>
      <w:r>
        <w:rPr>
          <w:rFonts w:hint="eastAsia" w:ascii="宋体" w:hAnsi="宋体"/>
          <w:color w:val="auto"/>
          <w:sz w:val="30"/>
          <w:szCs w:val="30"/>
          <w:highlight w:val="none"/>
          <w:lang w:val="zh-CN"/>
        </w:rPr>
        <w:t>一、概念释义</w:t>
      </w:r>
    </w:p>
    <w:p w14:paraId="04534513">
      <w:pPr>
        <w:autoSpaceDE w:val="0"/>
        <w:autoSpaceDN w:val="0"/>
        <w:adjustRightInd w:val="0"/>
        <w:spacing w:line="700" w:lineRule="exact"/>
        <w:ind w:firstLine="560"/>
        <w:rPr>
          <w:rFonts w:ascii="宋体" w:hAnsi="宋体"/>
          <w:color w:val="auto"/>
          <w:sz w:val="30"/>
          <w:szCs w:val="30"/>
          <w:highlight w:val="none"/>
          <w:lang w:val="zh-CN"/>
        </w:rPr>
      </w:pPr>
      <w:r>
        <w:rPr>
          <w:rFonts w:hint="eastAsia" w:ascii="宋体" w:hAnsi="宋体"/>
          <w:color w:val="auto"/>
          <w:sz w:val="30"/>
          <w:szCs w:val="30"/>
          <w:highlight w:val="none"/>
          <w:lang w:val="zh-CN"/>
        </w:rPr>
        <w:t>二、磋商文件说明</w:t>
      </w:r>
    </w:p>
    <w:p w14:paraId="6C7D38A6">
      <w:pPr>
        <w:autoSpaceDE w:val="0"/>
        <w:autoSpaceDN w:val="0"/>
        <w:adjustRightInd w:val="0"/>
        <w:spacing w:line="700" w:lineRule="exact"/>
        <w:ind w:firstLine="560"/>
        <w:rPr>
          <w:rFonts w:ascii="宋体" w:hAnsi="宋体"/>
          <w:color w:val="auto"/>
          <w:sz w:val="30"/>
          <w:szCs w:val="30"/>
          <w:highlight w:val="none"/>
          <w:lang w:val="zh-CN"/>
        </w:rPr>
      </w:pPr>
      <w:r>
        <w:rPr>
          <w:rFonts w:hint="eastAsia" w:ascii="宋体" w:hAnsi="宋体"/>
          <w:color w:val="auto"/>
          <w:sz w:val="30"/>
          <w:szCs w:val="30"/>
          <w:highlight w:val="none"/>
          <w:lang w:val="zh-CN"/>
        </w:rPr>
        <w:t>三、响应文件的编制</w:t>
      </w:r>
    </w:p>
    <w:p w14:paraId="0C0EE259">
      <w:pPr>
        <w:autoSpaceDE w:val="0"/>
        <w:autoSpaceDN w:val="0"/>
        <w:adjustRightInd w:val="0"/>
        <w:spacing w:line="700" w:lineRule="exact"/>
        <w:ind w:firstLine="560"/>
        <w:rPr>
          <w:rFonts w:ascii="宋体" w:hAnsi="宋体"/>
          <w:color w:val="auto"/>
          <w:sz w:val="30"/>
          <w:szCs w:val="30"/>
          <w:highlight w:val="none"/>
          <w:lang w:val="zh-CN"/>
        </w:rPr>
      </w:pPr>
      <w:r>
        <w:rPr>
          <w:rFonts w:hint="eastAsia" w:ascii="宋体" w:hAnsi="宋体"/>
          <w:color w:val="auto"/>
          <w:sz w:val="30"/>
          <w:szCs w:val="30"/>
          <w:highlight w:val="none"/>
          <w:lang w:val="zh-CN"/>
        </w:rPr>
        <w:t>四、响应文件的递交</w:t>
      </w:r>
    </w:p>
    <w:p w14:paraId="10C2FB72">
      <w:pPr>
        <w:autoSpaceDE w:val="0"/>
        <w:autoSpaceDN w:val="0"/>
        <w:adjustRightInd w:val="0"/>
        <w:spacing w:line="700" w:lineRule="exact"/>
        <w:ind w:firstLine="560"/>
        <w:rPr>
          <w:rFonts w:ascii="宋体" w:hAnsi="宋体"/>
          <w:color w:val="auto"/>
          <w:sz w:val="30"/>
          <w:szCs w:val="30"/>
          <w:highlight w:val="none"/>
          <w:lang w:val="zh-CN"/>
        </w:rPr>
      </w:pPr>
      <w:r>
        <w:rPr>
          <w:rFonts w:hint="eastAsia" w:ascii="宋体" w:hAnsi="宋体"/>
          <w:color w:val="auto"/>
          <w:sz w:val="30"/>
          <w:szCs w:val="30"/>
          <w:highlight w:val="none"/>
          <w:lang w:val="zh-CN"/>
        </w:rPr>
        <w:t>五、响应文件开启和磋商</w:t>
      </w:r>
    </w:p>
    <w:p w14:paraId="7A05472D">
      <w:pPr>
        <w:autoSpaceDE w:val="0"/>
        <w:autoSpaceDN w:val="0"/>
        <w:adjustRightInd w:val="0"/>
        <w:spacing w:line="700" w:lineRule="exact"/>
        <w:ind w:firstLine="551"/>
        <w:rPr>
          <w:rFonts w:ascii="宋体" w:hAnsi="宋体"/>
          <w:b/>
          <w:bCs/>
          <w:color w:val="auto"/>
          <w:sz w:val="30"/>
          <w:szCs w:val="30"/>
          <w:highlight w:val="none"/>
          <w:lang w:val="zh-CN"/>
        </w:rPr>
      </w:pPr>
      <w:r>
        <w:rPr>
          <w:rFonts w:hint="eastAsia" w:ascii="宋体" w:hAnsi="宋体"/>
          <w:color w:val="auto"/>
          <w:sz w:val="30"/>
          <w:szCs w:val="30"/>
          <w:highlight w:val="none"/>
          <w:lang w:val="zh-CN"/>
        </w:rPr>
        <w:t>六、成交和授予合同</w:t>
      </w:r>
    </w:p>
    <w:p w14:paraId="3E55EA0C">
      <w:pPr>
        <w:autoSpaceDE w:val="0"/>
        <w:autoSpaceDN w:val="0"/>
        <w:adjustRightInd w:val="0"/>
        <w:spacing w:line="700" w:lineRule="exact"/>
        <w:ind w:firstLine="551"/>
        <w:rPr>
          <w:rFonts w:ascii="宋体" w:hAnsi="宋体"/>
          <w:b/>
          <w:bCs/>
          <w:color w:val="auto"/>
          <w:sz w:val="30"/>
          <w:szCs w:val="30"/>
          <w:highlight w:val="none"/>
          <w:lang w:val="zh-CN"/>
        </w:rPr>
      </w:pPr>
      <w:r>
        <w:rPr>
          <w:rFonts w:hint="eastAsia" w:ascii="宋体" w:hAnsi="宋体"/>
          <w:b/>
          <w:bCs/>
          <w:color w:val="auto"/>
          <w:sz w:val="30"/>
          <w:szCs w:val="30"/>
          <w:highlight w:val="none"/>
          <w:lang w:val="zh-CN"/>
        </w:rPr>
        <w:t xml:space="preserve">第五章 </w:t>
      </w:r>
      <w:r>
        <w:rPr>
          <w:rFonts w:hint="eastAsia" w:ascii="宋体" w:hAnsi="宋体"/>
          <w:b/>
          <w:color w:val="auto"/>
          <w:kern w:val="0"/>
          <w:sz w:val="30"/>
          <w:szCs w:val="30"/>
          <w:highlight w:val="none"/>
        </w:rPr>
        <w:t>评审程序及评审标准</w:t>
      </w:r>
    </w:p>
    <w:p w14:paraId="3CCB4D63">
      <w:pPr>
        <w:autoSpaceDE w:val="0"/>
        <w:autoSpaceDN w:val="0"/>
        <w:adjustRightInd w:val="0"/>
        <w:spacing w:line="700" w:lineRule="exact"/>
        <w:ind w:firstLine="551"/>
        <w:outlineLvl w:val="0"/>
        <w:rPr>
          <w:rFonts w:ascii="宋体" w:hAnsi="宋体"/>
          <w:b/>
          <w:bCs/>
          <w:color w:val="auto"/>
          <w:sz w:val="30"/>
          <w:szCs w:val="30"/>
          <w:highlight w:val="none"/>
          <w:lang w:val="zh-CN"/>
        </w:rPr>
      </w:pPr>
      <w:r>
        <w:rPr>
          <w:rFonts w:hint="eastAsia" w:ascii="宋体" w:hAnsi="宋体"/>
          <w:b/>
          <w:bCs/>
          <w:color w:val="auto"/>
          <w:sz w:val="30"/>
          <w:szCs w:val="30"/>
          <w:highlight w:val="none"/>
          <w:lang w:val="zh-CN"/>
        </w:rPr>
        <w:t xml:space="preserve">第六章 </w:t>
      </w:r>
      <w:r>
        <w:rPr>
          <w:rFonts w:hint="eastAsia" w:ascii="宋体" w:hAnsi="宋体"/>
          <w:b/>
          <w:color w:val="auto"/>
          <w:kern w:val="0"/>
          <w:sz w:val="30"/>
          <w:szCs w:val="30"/>
          <w:highlight w:val="none"/>
        </w:rPr>
        <w:t>合同书格式及合同条款</w:t>
      </w:r>
    </w:p>
    <w:p w14:paraId="2F6F6976">
      <w:pPr>
        <w:autoSpaceDE w:val="0"/>
        <w:autoSpaceDN w:val="0"/>
        <w:adjustRightInd w:val="0"/>
        <w:spacing w:line="700" w:lineRule="exact"/>
        <w:ind w:firstLine="551"/>
        <w:rPr>
          <w:rFonts w:ascii="宋体" w:hAnsi="宋体"/>
          <w:b/>
          <w:color w:val="auto"/>
          <w:kern w:val="0"/>
          <w:sz w:val="30"/>
          <w:szCs w:val="30"/>
          <w:highlight w:val="none"/>
        </w:rPr>
      </w:pPr>
      <w:r>
        <w:rPr>
          <w:rFonts w:hint="eastAsia" w:ascii="宋体" w:hAnsi="宋体"/>
          <w:b/>
          <w:bCs/>
          <w:color w:val="auto"/>
          <w:sz w:val="30"/>
          <w:szCs w:val="30"/>
          <w:highlight w:val="none"/>
          <w:lang w:val="zh-CN"/>
        </w:rPr>
        <w:t xml:space="preserve">第七章 </w:t>
      </w:r>
      <w:r>
        <w:rPr>
          <w:rFonts w:hint="eastAsia" w:ascii="宋体" w:hAnsi="宋体"/>
          <w:b/>
          <w:color w:val="auto"/>
          <w:kern w:val="0"/>
          <w:sz w:val="30"/>
          <w:szCs w:val="30"/>
          <w:highlight w:val="none"/>
        </w:rPr>
        <w:t>响应文件有关格式</w:t>
      </w:r>
    </w:p>
    <w:p w14:paraId="1CC5F00E">
      <w:pPr>
        <w:autoSpaceDE w:val="0"/>
        <w:autoSpaceDN w:val="0"/>
        <w:adjustRightInd w:val="0"/>
        <w:spacing w:line="700" w:lineRule="exact"/>
        <w:ind w:firstLine="551"/>
        <w:rPr>
          <w:rFonts w:ascii="宋体" w:hAnsi="宋体"/>
          <w:b/>
          <w:color w:val="auto"/>
          <w:kern w:val="0"/>
          <w:sz w:val="32"/>
          <w:szCs w:val="32"/>
          <w:highlight w:val="none"/>
        </w:rPr>
      </w:pPr>
    </w:p>
    <w:p w14:paraId="52619E23">
      <w:pPr>
        <w:jc w:val="center"/>
        <w:rPr>
          <w:rFonts w:ascii="宋体" w:hAnsi="宋体"/>
          <w:b/>
          <w:color w:val="auto"/>
          <w:kern w:val="0"/>
          <w:sz w:val="32"/>
          <w:szCs w:val="32"/>
          <w:highlight w:val="none"/>
        </w:rPr>
      </w:pPr>
    </w:p>
    <w:p w14:paraId="7AC560CD">
      <w:pPr>
        <w:jc w:val="center"/>
        <w:rPr>
          <w:rFonts w:ascii="宋体" w:hAnsi="宋体"/>
          <w:b/>
          <w:color w:val="auto"/>
          <w:kern w:val="0"/>
          <w:sz w:val="32"/>
          <w:szCs w:val="32"/>
          <w:highlight w:val="none"/>
        </w:rPr>
      </w:pPr>
    </w:p>
    <w:p w14:paraId="7BC00710">
      <w:pPr>
        <w:jc w:val="center"/>
        <w:rPr>
          <w:rFonts w:ascii="宋体" w:hAnsi="宋体"/>
          <w:b/>
          <w:color w:val="auto"/>
          <w:kern w:val="0"/>
          <w:sz w:val="32"/>
          <w:szCs w:val="32"/>
          <w:highlight w:val="none"/>
        </w:rPr>
      </w:pPr>
      <w:r>
        <w:rPr>
          <w:rFonts w:hint="eastAsia" w:ascii="宋体" w:hAnsi="宋体"/>
          <w:b/>
          <w:color w:val="auto"/>
          <w:kern w:val="0"/>
          <w:sz w:val="32"/>
          <w:szCs w:val="32"/>
          <w:highlight w:val="none"/>
        </w:rPr>
        <w:br w:type="page"/>
      </w:r>
      <w:r>
        <w:rPr>
          <w:rFonts w:hint="eastAsia" w:ascii="宋体" w:hAnsi="宋体"/>
          <w:b/>
          <w:color w:val="auto"/>
          <w:kern w:val="0"/>
          <w:sz w:val="32"/>
          <w:szCs w:val="32"/>
          <w:highlight w:val="none"/>
        </w:rPr>
        <w:t>第一章 采购邀请</w:t>
      </w:r>
    </w:p>
    <w:p w14:paraId="6A396712">
      <w:pPr>
        <w:pStyle w:val="26"/>
        <w:widowControl/>
        <w:shd w:val="clear" w:color="auto" w:fill="FFFFFF"/>
        <w:autoSpaceDE w:val="0"/>
        <w:autoSpaceDN w:val="0"/>
        <w:spacing w:line="360" w:lineRule="auto"/>
        <w:ind w:firstLine="420"/>
        <w:contextualSpacing/>
        <w:jc w:val="left"/>
        <w:rPr>
          <w:rFonts w:ascii="宋体" w:hAnsi="宋体" w:cs="仿宋_GB2312"/>
          <w:color w:val="auto"/>
          <w:sz w:val="21"/>
          <w:szCs w:val="21"/>
          <w:highlight w:val="none"/>
          <w:shd w:val="clear" w:color="auto" w:fill="FFFFFF"/>
        </w:rPr>
      </w:pPr>
      <w:bookmarkStart w:id="3" w:name="OLE_LINK20"/>
      <w:bookmarkStart w:id="31" w:name="_GoBack"/>
      <w:r>
        <w:rPr>
          <w:rFonts w:hint="eastAsia" w:ascii="宋体" w:hAnsi="宋体" w:cs="仿宋_GB2312"/>
          <w:color w:val="auto"/>
          <w:sz w:val="21"/>
          <w:szCs w:val="21"/>
          <w:highlight w:val="none"/>
          <w:shd w:val="clear" w:color="auto" w:fill="FFFFFF"/>
        </w:rPr>
        <w:t>河南永明工程管理有限公司受</w:t>
      </w:r>
      <w:bookmarkStart w:id="4" w:name="OLE_LINK16"/>
      <w:r>
        <w:rPr>
          <w:rFonts w:hint="eastAsia" w:ascii="宋体" w:hAnsi="宋体" w:cs="仿宋_GB2312"/>
          <w:color w:val="auto"/>
          <w:sz w:val="21"/>
          <w:szCs w:val="21"/>
          <w:highlight w:val="none"/>
          <w:shd w:val="clear" w:color="auto" w:fill="FFFFFF"/>
          <w:lang w:val="en-US" w:eastAsia="zh-CN"/>
        </w:rPr>
        <w:t>许昌市文化投资有限责任公司</w:t>
      </w:r>
      <w:bookmarkEnd w:id="4"/>
      <w:r>
        <w:rPr>
          <w:rFonts w:hint="eastAsia" w:ascii="宋体" w:hAnsi="宋体" w:cs="仿宋_GB2312"/>
          <w:color w:val="auto"/>
          <w:sz w:val="21"/>
          <w:szCs w:val="21"/>
          <w:highlight w:val="none"/>
          <w:shd w:val="clear" w:color="auto" w:fill="FFFFFF"/>
        </w:rPr>
        <w:t>的委托，就</w:t>
      </w:r>
      <w:r>
        <w:rPr>
          <w:rFonts w:hint="eastAsia" w:ascii="宋体" w:hAnsi="宋体" w:cs="仿宋_GB2312"/>
          <w:color w:val="auto"/>
          <w:sz w:val="21"/>
          <w:szCs w:val="21"/>
          <w:highlight w:val="none"/>
          <w:shd w:val="clear" w:color="auto" w:fill="FFFFFF"/>
          <w:lang w:val="en-US" w:eastAsia="zh-CN"/>
        </w:rPr>
        <w:t>许昌市文化投资有限责任公司“</w:t>
      </w:r>
      <w:bookmarkStart w:id="5" w:name="OLE_LINK4"/>
      <w:r>
        <w:rPr>
          <w:rFonts w:hint="eastAsia" w:ascii="宋体" w:hAnsi="宋体" w:cs="仿宋_GB2312"/>
          <w:color w:val="auto"/>
          <w:sz w:val="21"/>
          <w:szCs w:val="21"/>
          <w:highlight w:val="none"/>
          <w:shd w:val="clear" w:color="auto" w:fill="FFFFFF"/>
          <w:lang w:val="en-US" w:eastAsia="zh-CN"/>
        </w:rPr>
        <w:t>春秋楼关圣殿数字化工程项目投影机采购</w:t>
      </w:r>
      <w:bookmarkEnd w:id="5"/>
      <w:r>
        <w:rPr>
          <w:rFonts w:hint="eastAsia" w:ascii="宋体" w:hAnsi="宋体" w:cs="仿宋_GB2312"/>
          <w:color w:val="auto"/>
          <w:sz w:val="21"/>
          <w:szCs w:val="21"/>
          <w:highlight w:val="none"/>
          <w:shd w:val="clear" w:color="auto" w:fill="FFFFFF"/>
          <w:lang w:val="en-US" w:eastAsia="zh-CN"/>
        </w:rPr>
        <w:t>”</w:t>
      </w:r>
      <w:r>
        <w:rPr>
          <w:rFonts w:hint="eastAsia" w:ascii="宋体" w:hAnsi="宋体" w:cs="仿宋_GB2312"/>
          <w:color w:val="auto"/>
          <w:sz w:val="21"/>
          <w:szCs w:val="21"/>
          <w:highlight w:val="none"/>
          <w:shd w:val="clear" w:color="auto" w:fill="FFFFFF"/>
        </w:rPr>
        <w:t>进行竞争性磋商采购。现邀请符合本磋商文件规定条件的供应商前来磋商。</w:t>
      </w:r>
    </w:p>
    <w:p w14:paraId="2397DFAE">
      <w:pPr>
        <w:pStyle w:val="26"/>
        <w:widowControl/>
        <w:shd w:val="clear" w:color="auto" w:fill="FFFFFF"/>
        <w:spacing w:line="360" w:lineRule="auto"/>
        <w:ind w:firstLine="420"/>
        <w:contextualSpacing/>
        <w:jc w:val="left"/>
        <w:rPr>
          <w:rFonts w:ascii="宋体" w:hAnsi="宋体" w:cs="黑体"/>
          <w:b/>
          <w:bCs/>
          <w:color w:val="auto"/>
          <w:sz w:val="21"/>
          <w:szCs w:val="21"/>
          <w:highlight w:val="none"/>
          <w:shd w:val="clear" w:color="auto" w:fill="FFFFFF"/>
        </w:rPr>
      </w:pPr>
      <w:r>
        <w:rPr>
          <w:rFonts w:hint="eastAsia" w:ascii="宋体" w:hAnsi="宋体" w:cs="黑体"/>
          <w:b/>
          <w:bCs/>
          <w:color w:val="auto"/>
          <w:sz w:val="21"/>
          <w:szCs w:val="21"/>
          <w:highlight w:val="none"/>
          <w:shd w:val="clear" w:color="auto" w:fill="FFFFFF"/>
        </w:rPr>
        <w:t>一、项目基本情况</w:t>
      </w:r>
    </w:p>
    <w:p w14:paraId="4F07DCC7">
      <w:pPr>
        <w:pStyle w:val="26"/>
        <w:widowControl/>
        <w:shd w:val="clear" w:color="auto" w:fill="FFFFFF"/>
        <w:autoSpaceDE w:val="0"/>
        <w:autoSpaceDN w:val="0"/>
        <w:spacing w:line="360" w:lineRule="auto"/>
        <w:ind w:firstLine="420"/>
        <w:contextualSpacing/>
        <w:jc w:val="left"/>
        <w:rPr>
          <w:rFonts w:hint="eastAsia" w:ascii="宋体" w:hAnsi="宋体" w:eastAsia="宋体" w:cs="仿宋_GB2312"/>
          <w:color w:val="auto"/>
          <w:sz w:val="21"/>
          <w:szCs w:val="21"/>
          <w:highlight w:val="none"/>
          <w:shd w:val="clear" w:color="auto" w:fill="FFFFFF"/>
          <w:lang w:eastAsia="zh-CN"/>
        </w:rPr>
      </w:pPr>
      <w:r>
        <w:rPr>
          <w:rFonts w:hint="eastAsia" w:ascii="宋体" w:hAnsi="宋体" w:cs="仿宋_GB2312"/>
          <w:color w:val="auto"/>
          <w:sz w:val="21"/>
          <w:szCs w:val="21"/>
          <w:highlight w:val="none"/>
          <w:shd w:val="clear" w:color="auto" w:fill="FFFFFF"/>
        </w:rPr>
        <w:t>（一）项目名称：</w:t>
      </w:r>
      <w:bookmarkStart w:id="6" w:name="OLE_LINK5"/>
      <w:bookmarkStart w:id="7" w:name="OLE_LINK10"/>
      <w:r>
        <w:rPr>
          <w:rFonts w:hint="eastAsia" w:ascii="宋体" w:hAnsi="宋体" w:cs="仿宋_GB2312"/>
          <w:color w:val="auto"/>
          <w:sz w:val="21"/>
          <w:szCs w:val="21"/>
          <w:highlight w:val="none"/>
          <w:shd w:val="clear" w:color="auto" w:fill="FFFFFF"/>
          <w:lang w:val="en-US" w:eastAsia="zh-CN"/>
        </w:rPr>
        <w:t>春秋楼关圣殿数字化工程项目投影机采购</w:t>
      </w:r>
      <w:bookmarkEnd w:id="6"/>
    </w:p>
    <w:bookmarkEnd w:id="7"/>
    <w:p w14:paraId="2FEADBBA">
      <w:pPr>
        <w:pStyle w:val="26"/>
        <w:widowControl/>
        <w:shd w:val="clear" w:color="auto" w:fill="FFFFFF"/>
        <w:autoSpaceDE w:val="0"/>
        <w:autoSpaceDN w:val="0"/>
        <w:spacing w:line="360" w:lineRule="auto"/>
        <w:ind w:firstLine="420"/>
        <w:contextualSpacing/>
        <w:jc w:val="left"/>
        <w:rPr>
          <w:rFonts w:hint="eastAsia" w:ascii="宋体" w:hAnsi="宋体" w:eastAsia="宋体" w:cs="仿宋_GB2312"/>
          <w:color w:val="auto"/>
          <w:sz w:val="21"/>
          <w:szCs w:val="21"/>
          <w:highlight w:val="none"/>
          <w:shd w:val="clear" w:color="auto" w:fill="FFFFFF"/>
          <w:lang w:eastAsia="zh-CN"/>
        </w:rPr>
      </w:pPr>
      <w:r>
        <w:rPr>
          <w:rFonts w:hint="eastAsia" w:ascii="宋体" w:hAnsi="宋体" w:cs="仿宋_GB2312"/>
          <w:color w:val="auto"/>
          <w:sz w:val="21"/>
          <w:szCs w:val="21"/>
          <w:highlight w:val="none"/>
          <w:shd w:val="clear" w:color="auto" w:fill="FFFFFF"/>
        </w:rPr>
        <w:t>（二）项目编号：</w:t>
      </w:r>
      <w:r>
        <w:rPr>
          <w:rFonts w:hint="eastAsia" w:ascii="宋体" w:hAnsi="宋体" w:cs="仿宋_GB2312"/>
          <w:color w:val="auto"/>
          <w:sz w:val="21"/>
          <w:szCs w:val="21"/>
          <w:highlight w:val="none"/>
          <w:shd w:val="clear" w:color="auto" w:fill="FFFFFF"/>
          <w:lang w:eastAsia="zh-CN"/>
        </w:rPr>
        <w:t>HNYM-C202</w:t>
      </w:r>
      <w:r>
        <w:rPr>
          <w:rFonts w:hint="eastAsia" w:ascii="宋体" w:hAnsi="宋体" w:cs="仿宋_GB2312"/>
          <w:color w:val="auto"/>
          <w:sz w:val="21"/>
          <w:szCs w:val="21"/>
          <w:highlight w:val="none"/>
          <w:shd w:val="clear" w:color="auto" w:fill="FFFFFF"/>
          <w:lang w:val="en-US" w:eastAsia="zh-CN"/>
        </w:rPr>
        <w:t>4</w:t>
      </w:r>
      <w:r>
        <w:rPr>
          <w:rFonts w:hint="eastAsia" w:ascii="宋体" w:hAnsi="宋体" w:cs="仿宋_GB2312"/>
          <w:color w:val="auto"/>
          <w:sz w:val="21"/>
          <w:szCs w:val="21"/>
          <w:highlight w:val="none"/>
          <w:shd w:val="clear" w:color="auto" w:fill="FFFFFF"/>
          <w:lang w:eastAsia="zh-CN"/>
        </w:rPr>
        <w:t>0</w:t>
      </w:r>
      <w:r>
        <w:rPr>
          <w:rFonts w:hint="eastAsia" w:ascii="宋体" w:hAnsi="宋体" w:cs="仿宋_GB2312"/>
          <w:color w:val="auto"/>
          <w:sz w:val="21"/>
          <w:szCs w:val="21"/>
          <w:highlight w:val="none"/>
          <w:shd w:val="clear" w:color="auto" w:fill="FFFFFF"/>
          <w:lang w:val="en-US" w:eastAsia="zh-CN"/>
        </w:rPr>
        <w:t>25</w:t>
      </w:r>
      <w:r>
        <w:rPr>
          <w:rFonts w:hint="eastAsia" w:ascii="宋体" w:hAnsi="宋体" w:cs="仿宋_GB2312"/>
          <w:color w:val="auto"/>
          <w:sz w:val="21"/>
          <w:szCs w:val="21"/>
          <w:highlight w:val="none"/>
          <w:shd w:val="clear" w:color="auto" w:fill="FFFFFF"/>
          <w:lang w:eastAsia="zh-CN"/>
        </w:rPr>
        <w:t>号</w:t>
      </w:r>
    </w:p>
    <w:p w14:paraId="7AB8D09E">
      <w:pPr>
        <w:pStyle w:val="26"/>
        <w:widowControl/>
        <w:shd w:val="clear" w:color="auto" w:fill="FFFFFF"/>
        <w:autoSpaceDE w:val="0"/>
        <w:autoSpaceDN w:val="0"/>
        <w:spacing w:line="360" w:lineRule="auto"/>
        <w:ind w:firstLine="42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 xml:space="preserve">（三）采购方式：竞争性磋商                                                                                                                         </w:t>
      </w:r>
    </w:p>
    <w:p w14:paraId="46CB9CF4">
      <w:pPr>
        <w:pStyle w:val="26"/>
        <w:widowControl/>
        <w:shd w:val="clear" w:color="auto" w:fill="FFFFFF"/>
        <w:autoSpaceDE w:val="0"/>
        <w:autoSpaceDN w:val="0"/>
        <w:spacing w:line="360" w:lineRule="auto"/>
        <w:ind w:firstLine="420"/>
        <w:contextualSpacing/>
        <w:jc w:val="left"/>
        <w:rPr>
          <w:rFonts w:hint="eastAsia"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（四）项目主要内容、数量：</w:t>
      </w:r>
      <w:bookmarkStart w:id="8" w:name="OLE_LINK9"/>
      <w:r>
        <w:rPr>
          <w:rFonts w:hint="eastAsia" w:ascii="宋体" w:hAnsi="宋体" w:cs="仿宋_GB2312"/>
          <w:color w:val="auto"/>
          <w:sz w:val="21"/>
          <w:szCs w:val="21"/>
          <w:highlight w:val="none"/>
          <w:shd w:val="clear" w:color="auto" w:fill="FFFFFF"/>
          <w:lang w:val="en-US" w:eastAsia="zh-CN"/>
        </w:rPr>
        <w:t>主要针对春秋楼关圣殿数字化项目进行投影机采购</w:t>
      </w:r>
      <w:r>
        <w:rPr>
          <w:rFonts w:hint="eastAsia" w:ascii="宋体" w:hAnsi="宋体" w:cs="仿宋_GB2312"/>
          <w:color w:val="auto"/>
          <w:sz w:val="21"/>
          <w:szCs w:val="21"/>
          <w:highlight w:val="none"/>
          <w:shd w:val="clear" w:color="auto" w:fill="FFFFFF"/>
          <w:lang w:eastAsia="zh-CN"/>
        </w:rPr>
        <w:t>。</w:t>
      </w:r>
      <w:r>
        <w:rPr>
          <w:rFonts w:hint="eastAsia" w:ascii="宋体" w:hAnsi="宋体" w:cs="仿宋_GB2312"/>
          <w:color w:val="auto"/>
          <w:sz w:val="21"/>
          <w:szCs w:val="21"/>
          <w:highlight w:val="none"/>
          <w:shd w:val="clear" w:color="auto" w:fill="FFFFFF"/>
        </w:rPr>
        <w:t>（具体内容详见采购</w:t>
      </w:r>
      <w:r>
        <w:rPr>
          <w:rFonts w:hint="eastAsia" w:ascii="宋体" w:hAnsi="宋体" w:cs="仿宋_GB2312"/>
          <w:color w:val="auto"/>
          <w:sz w:val="21"/>
          <w:szCs w:val="21"/>
          <w:highlight w:val="none"/>
          <w:shd w:val="clear" w:color="auto" w:fill="FFFFFF"/>
          <w:lang w:val="en-US" w:eastAsia="zh-CN"/>
        </w:rPr>
        <w:t>清单</w:t>
      </w:r>
      <w:r>
        <w:rPr>
          <w:rFonts w:hint="eastAsia" w:ascii="宋体" w:hAnsi="宋体" w:cs="仿宋_GB2312"/>
          <w:color w:val="auto"/>
          <w:sz w:val="21"/>
          <w:szCs w:val="21"/>
          <w:highlight w:val="none"/>
          <w:shd w:val="clear" w:color="auto" w:fill="FFFFFF"/>
        </w:rPr>
        <w:t>）</w:t>
      </w:r>
    </w:p>
    <w:bookmarkEnd w:id="8"/>
    <w:p w14:paraId="2C56B244">
      <w:pPr>
        <w:pStyle w:val="26"/>
        <w:widowControl/>
        <w:shd w:val="clear" w:color="auto" w:fill="FFFFFF"/>
        <w:autoSpaceDE w:val="0"/>
        <w:autoSpaceDN w:val="0"/>
        <w:spacing w:line="360" w:lineRule="auto"/>
        <w:ind w:firstLine="420"/>
        <w:contextualSpacing/>
        <w:jc w:val="left"/>
        <w:rPr>
          <w:rFonts w:hint="eastAsia" w:ascii="宋体" w:hAnsi="宋体" w:eastAsia="宋体" w:cs="仿宋_GB2312"/>
          <w:color w:val="auto"/>
          <w:sz w:val="21"/>
          <w:szCs w:val="21"/>
          <w:highlight w:val="none"/>
          <w:shd w:val="clear" w:color="auto" w:fill="FFFFFF"/>
          <w:lang w:eastAsia="zh-CN"/>
        </w:rPr>
      </w:pPr>
      <w:r>
        <w:rPr>
          <w:rFonts w:hint="eastAsia" w:ascii="宋体" w:hAnsi="宋体" w:cs="仿宋_GB2312"/>
          <w:color w:val="auto"/>
          <w:sz w:val="21"/>
          <w:szCs w:val="21"/>
          <w:highlight w:val="none"/>
          <w:shd w:val="clear" w:color="auto" w:fill="FFFFFF"/>
        </w:rPr>
        <w:t>（五）预算金额：</w:t>
      </w:r>
      <w:r>
        <w:rPr>
          <w:rFonts w:hint="eastAsia" w:ascii="宋体" w:hAnsi="宋体" w:cs="仿宋_GB2312"/>
          <w:color w:val="auto"/>
          <w:sz w:val="21"/>
          <w:szCs w:val="21"/>
          <w:highlight w:val="none"/>
          <w:shd w:val="clear" w:color="auto" w:fill="FFFFFF"/>
          <w:lang w:val="en-US" w:eastAsia="zh-CN"/>
        </w:rPr>
        <w:t>77万元</w:t>
      </w:r>
    </w:p>
    <w:p w14:paraId="6D3CFE93">
      <w:pPr>
        <w:pStyle w:val="26"/>
        <w:widowControl/>
        <w:shd w:val="clear" w:color="auto" w:fill="FFFFFF"/>
        <w:autoSpaceDE w:val="0"/>
        <w:autoSpaceDN w:val="0"/>
        <w:spacing w:line="360" w:lineRule="auto"/>
        <w:ind w:firstLine="420"/>
        <w:contextualSpacing/>
        <w:jc w:val="left"/>
        <w:rPr>
          <w:rFonts w:hint="eastAsia"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（六）交付（服务、完工）时间：</w:t>
      </w:r>
      <w:r>
        <w:rPr>
          <w:rFonts w:hint="eastAsia" w:ascii="宋体" w:hAnsi="宋体" w:cs="仿宋_GB2312"/>
          <w:color w:val="auto"/>
          <w:sz w:val="21"/>
          <w:szCs w:val="21"/>
          <w:highlight w:val="none"/>
          <w:shd w:val="clear" w:color="auto" w:fill="FFFFFF"/>
          <w:lang w:val="en-US" w:eastAsia="zh-CN"/>
        </w:rPr>
        <w:t xml:space="preserve"> 自合同生效之日起3日历天内</w:t>
      </w:r>
      <w:r>
        <w:rPr>
          <w:rFonts w:hint="eastAsia" w:ascii="宋体" w:hAnsi="宋体" w:cs="仿宋_GB2312"/>
          <w:color w:val="auto"/>
          <w:sz w:val="21"/>
          <w:szCs w:val="21"/>
          <w:highlight w:val="none"/>
          <w:shd w:val="clear" w:color="auto" w:fill="FFFFFF"/>
        </w:rPr>
        <w:t>。</w:t>
      </w:r>
    </w:p>
    <w:p w14:paraId="7352F41F">
      <w:pPr>
        <w:pStyle w:val="26"/>
        <w:widowControl/>
        <w:shd w:val="clear" w:color="auto" w:fill="FFFFFF"/>
        <w:autoSpaceDE w:val="0"/>
        <w:autoSpaceDN w:val="0"/>
        <w:spacing w:line="360" w:lineRule="auto"/>
        <w:ind w:firstLine="420"/>
        <w:contextualSpacing/>
        <w:jc w:val="left"/>
        <w:rPr>
          <w:rFonts w:hint="eastAsia"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（七）交付（服务、完工）地点：以招标人要求为准。</w:t>
      </w:r>
    </w:p>
    <w:p w14:paraId="34B81278">
      <w:pPr>
        <w:pStyle w:val="26"/>
        <w:widowControl/>
        <w:shd w:val="clear" w:color="auto" w:fill="FFFFFF"/>
        <w:autoSpaceDE w:val="0"/>
        <w:autoSpaceDN w:val="0"/>
        <w:spacing w:line="360" w:lineRule="auto"/>
        <w:ind w:firstLine="420" w:firstLineChars="20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（八）进口产品：不允许</w:t>
      </w:r>
    </w:p>
    <w:p w14:paraId="5E947446">
      <w:pPr>
        <w:pStyle w:val="26"/>
        <w:widowControl/>
        <w:shd w:val="clear" w:color="auto" w:fill="FFFFFF"/>
        <w:autoSpaceDE w:val="0"/>
        <w:autoSpaceDN w:val="0"/>
        <w:spacing w:line="360" w:lineRule="auto"/>
        <w:ind w:firstLine="420" w:firstLineChars="20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（九）分包：不允许。</w:t>
      </w:r>
    </w:p>
    <w:p w14:paraId="3C493856">
      <w:pPr>
        <w:pStyle w:val="26"/>
        <w:widowControl/>
        <w:shd w:val="clear" w:color="auto" w:fill="FFFFFF"/>
        <w:autoSpaceDE w:val="0"/>
        <w:autoSpaceDN w:val="0"/>
        <w:spacing w:line="360" w:lineRule="auto"/>
        <w:ind w:firstLine="420" w:firstLineChars="20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（十）是否允许联合体：不允许。</w:t>
      </w:r>
    </w:p>
    <w:p w14:paraId="2CC50FE7">
      <w:pPr>
        <w:pStyle w:val="26"/>
        <w:widowControl/>
        <w:shd w:val="clear" w:color="auto" w:fill="FFFFFF"/>
        <w:autoSpaceDE w:val="0"/>
        <w:autoSpaceDN w:val="0"/>
        <w:spacing w:line="360" w:lineRule="auto"/>
        <w:ind w:firstLine="420"/>
        <w:contextualSpacing/>
        <w:jc w:val="left"/>
        <w:rPr>
          <w:rFonts w:ascii="宋体" w:hAnsi="宋体" w:cs="仿宋_GB2312"/>
          <w:b/>
          <w:bCs/>
          <w:color w:val="auto"/>
          <w:sz w:val="21"/>
          <w:szCs w:val="21"/>
          <w:highlight w:val="none"/>
          <w:shd w:val="clear" w:color="auto" w:fill="FFFFFF"/>
        </w:rPr>
      </w:pPr>
      <w:r>
        <w:rPr>
          <w:rFonts w:hint="eastAsia" w:ascii="宋体" w:hAnsi="宋体" w:cs="仿宋_GB2312"/>
          <w:b/>
          <w:bCs/>
          <w:color w:val="auto"/>
          <w:sz w:val="21"/>
          <w:szCs w:val="21"/>
          <w:highlight w:val="none"/>
          <w:shd w:val="clear" w:color="auto" w:fill="FFFFFF"/>
        </w:rPr>
        <w:t>二、需要落实的政府采购政策</w:t>
      </w:r>
    </w:p>
    <w:p w14:paraId="316CBB45">
      <w:pPr>
        <w:pStyle w:val="26"/>
        <w:widowControl/>
        <w:shd w:val="clear" w:color="auto" w:fill="FFFFFF"/>
        <w:autoSpaceDE w:val="0"/>
        <w:autoSpaceDN w:val="0"/>
        <w:spacing w:line="360" w:lineRule="auto"/>
        <w:ind w:firstLine="42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本项目落实节能环保、中小微型企业、监狱企业、残疾人福利性单位扶持等相关政府采购政策。</w:t>
      </w:r>
    </w:p>
    <w:p w14:paraId="1045A8BB">
      <w:pPr>
        <w:pStyle w:val="26"/>
        <w:widowControl/>
        <w:numPr>
          <w:ilvl w:val="0"/>
          <w:numId w:val="4"/>
        </w:numPr>
        <w:shd w:val="clear" w:color="auto" w:fill="FFFFFF"/>
        <w:spacing w:line="360" w:lineRule="auto"/>
        <w:ind w:firstLine="420"/>
        <w:contextualSpacing/>
        <w:jc w:val="left"/>
        <w:rPr>
          <w:rFonts w:ascii="宋体" w:hAnsi="宋体" w:cs="黑体"/>
          <w:b/>
          <w:bCs/>
          <w:color w:val="auto"/>
          <w:sz w:val="21"/>
          <w:szCs w:val="21"/>
          <w:highlight w:val="none"/>
          <w:shd w:val="clear" w:color="auto" w:fill="FFFFFF"/>
        </w:rPr>
      </w:pPr>
      <w:r>
        <w:rPr>
          <w:rFonts w:hint="eastAsia" w:ascii="宋体" w:hAnsi="宋体" w:cs="黑体"/>
          <w:b/>
          <w:bCs/>
          <w:color w:val="auto"/>
          <w:sz w:val="21"/>
          <w:szCs w:val="21"/>
          <w:highlight w:val="none"/>
          <w:shd w:val="clear" w:color="auto" w:fill="FFFFFF"/>
        </w:rPr>
        <w:t>供应商资格条件</w:t>
      </w:r>
    </w:p>
    <w:p w14:paraId="67FA0049">
      <w:pPr>
        <w:pStyle w:val="26"/>
        <w:widowControl/>
        <w:numPr>
          <w:ilvl w:val="0"/>
          <w:numId w:val="5"/>
        </w:numPr>
        <w:shd w:val="clear" w:color="auto" w:fill="FFFFFF"/>
        <w:spacing w:line="360" w:lineRule="auto"/>
        <w:ind w:firstLine="420" w:firstLineChars="20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符合《中华人民共和国政府采购法》第二十二条之规定。</w:t>
      </w:r>
    </w:p>
    <w:p w14:paraId="458678CD">
      <w:pPr>
        <w:pStyle w:val="26"/>
        <w:widowControl/>
        <w:shd w:val="clear" w:color="auto" w:fill="FFFFFF"/>
        <w:spacing w:line="360" w:lineRule="auto"/>
        <w:ind w:firstLine="420" w:firstLineChars="200"/>
        <w:contextualSpacing/>
        <w:jc w:val="left"/>
        <w:rPr>
          <w:rFonts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rPr>
        <w:t>（二） 未被列入“信用中国”网站(www.creditchina.gov.cn)失信被执行人、重大税收违法案件当事人名单的供应商；“中国政府采购网” (www.ccgp.gov.cn)政府采购严重违法失信行为记录名单的供应商；“中国社会组织公共服务平台”网站（www.chinanpo.gov.cn）严重违法失信名单的社会组织。</w:t>
      </w:r>
    </w:p>
    <w:p w14:paraId="2CA0DBC4">
      <w:pPr>
        <w:pStyle w:val="77"/>
        <w:ind w:firstLine="420" w:firstLineChars="200"/>
        <w:rPr>
          <w:rFonts w:ascii="宋体" w:hAnsi="宋体" w:cs="仿宋_GB2312"/>
          <w:color w:val="auto"/>
          <w:szCs w:val="21"/>
          <w:highlight w:val="none"/>
          <w:shd w:val="clear" w:color="auto" w:fill="FFFFFF"/>
        </w:rPr>
      </w:pPr>
      <w:r>
        <w:rPr>
          <w:rFonts w:hint="eastAsia" w:ascii="宋体" w:hAnsi="宋体" w:cs="仿宋_GB2312"/>
          <w:color w:val="auto"/>
          <w:szCs w:val="21"/>
          <w:highlight w:val="none"/>
          <w:shd w:val="clear" w:color="auto" w:fill="FFFFFF"/>
        </w:rPr>
        <w:t>（三）本次采购不接受联合体响应。</w:t>
      </w:r>
    </w:p>
    <w:p w14:paraId="23383C6E">
      <w:pPr>
        <w:pStyle w:val="77"/>
        <w:ind w:firstLine="420" w:firstLineChars="200"/>
        <w:rPr>
          <w:rFonts w:ascii="宋体" w:hAnsi="宋体" w:cs="仿宋_GB2312"/>
          <w:color w:val="auto"/>
          <w:szCs w:val="21"/>
          <w:highlight w:val="none"/>
          <w:shd w:val="clear" w:color="auto" w:fill="FFFFFF"/>
        </w:rPr>
      </w:pPr>
      <w:r>
        <w:rPr>
          <w:rFonts w:hint="eastAsia" w:ascii="宋体" w:hAnsi="宋体" w:cs="仿宋_GB2312"/>
          <w:color w:val="auto"/>
          <w:szCs w:val="21"/>
          <w:highlight w:val="none"/>
          <w:shd w:val="clear" w:color="auto" w:fill="FFFFFF"/>
        </w:rPr>
        <w:t>（四）本次项目实行资格后审。</w:t>
      </w:r>
    </w:p>
    <w:p w14:paraId="71302459">
      <w:pPr>
        <w:pStyle w:val="26"/>
        <w:widowControl/>
        <w:shd w:val="clear" w:color="auto" w:fill="FFFFFF"/>
        <w:spacing w:line="360" w:lineRule="auto"/>
        <w:ind w:firstLine="420"/>
        <w:contextualSpacing/>
        <w:jc w:val="left"/>
        <w:rPr>
          <w:rFonts w:ascii="宋体" w:hAnsi="宋体" w:cs="黑体"/>
          <w:b/>
          <w:bCs/>
          <w:color w:val="auto"/>
          <w:sz w:val="21"/>
          <w:szCs w:val="21"/>
          <w:highlight w:val="none"/>
          <w:shd w:val="clear" w:color="auto" w:fill="FFFFFF"/>
        </w:rPr>
      </w:pPr>
      <w:r>
        <w:rPr>
          <w:rFonts w:hint="eastAsia" w:ascii="宋体" w:hAnsi="宋体" w:cs="黑体"/>
          <w:b/>
          <w:bCs/>
          <w:color w:val="auto"/>
          <w:sz w:val="21"/>
          <w:szCs w:val="21"/>
          <w:highlight w:val="none"/>
          <w:shd w:val="clear" w:color="auto" w:fill="FFFFFF"/>
        </w:rPr>
        <w:t>四、招标文件的获取</w:t>
      </w:r>
    </w:p>
    <w:p w14:paraId="0E99FC49">
      <w:pPr>
        <w:pStyle w:val="26"/>
        <w:widowControl/>
        <w:shd w:val="clear" w:color="auto" w:fill="FFFFFF"/>
        <w:spacing w:line="360" w:lineRule="auto"/>
        <w:ind w:firstLine="420"/>
        <w:contextualSpacing/>
        <w:jc w:val="left"/>
        <w:rPr>
          <w:rFonts w:ascii="宋体" w:hAnsi="宋体" w:cs="仿宋_GB2312"/>
          <w:color w:val="auto"/>
          <w:sz w:val="21"/>
          <w:szCs w:val="21"/>
          <w:highlight w:val="none"/>
          <w:shd w:val="clear" w:color="auto" w:fill="FFFFFF"/>
          <w:lang w:val="zh-CN"/>
        </w:rPr>
      </w:pPr>
      <w:r>
        <w:rPr>
          <w:rFonts w:hint="eastAsia" w:ascii="宋体" w:hAnsi="宋体" w:cs="仿宋_GB2312"/>
          <w:color w:val="auto"/>
          <w:sz w:val="21"/>
          <w:szCs w:val="21"/>
          <w:highlight w:val="none"/>
          <w:shd w:val="clear" w:color="auto" w:fill="FFFFFF"/>
        </w:rPr>
        <w:t>4</w:t>
      </w:r>
      <w:r>
        <w:rPr>
          <w:rFonts w:hint="eastAsia" w:ascii="宋体" w:hAnsi="宋体" w:cs="仿宋_GB2312"/>
          <w:color w:val="auto"/>
          <w:sz w:val="21"/>
          <w:szCs w:val="21"/>
          <w:highlight w:val="none"/>
          <w:shd w:val="clear" w:color="auto" w:fill="FFFFFF"/>
          <w:lang w:val="zh-CN"/>
        </w:rPr>
        <w:t>.1凡有意参加投标者，请于202</w:t>
      </w:r>
      <w:r>
        <w:rPr>
          <w:rFonts w:hint="eastAsia" w:ascii="宋体" w:hAnsi="宋体" w:cs="仿宋_GB2312"/>
          <w:color w:val="auto"/>
          <w:sz w:val="21"/>
          <w:szCs w:val="21"/>
          <w:highlight w:val="none"/>
          <w:shd w:val="clear" w:color="auto" w:fill="FFFFFF"/>
          <w:lang w:val="en-US" w:eastAsia="zh-CN"/>
        </w:rPr>
        <w:t>4</w:t>
      </w:r>
      <w:r>
        <w:rPr>
          <w:rFonts w:hint="eastAsia" w:ascii="宋体" w:hAnsi="宋体" w:cs="仿宋_GB2312"/>
          <w:color w:val="auto"/>
          <w:sz w:val="21"/>
          <w:szCs w:val="21"/>
          <w:highlight w:val="none"/>
          <w:shd w:val="clear" w:color="auto" w:fill="FFFFFF"/>
          <w:lang w:val="zh-CN"/>
        </w:rPr>
        <w:t>年</w:t>
      </w:r>
      <w:r>
        <w:rPr>
          <w:rFonts w:hint="eastAsia" w:ascii="宋体" w:hAnsi="宋体" w:cs="仿宋_GB2312"/>
          <w:color w:val="auto"/>
          <w:sz w:val="21"/>
          <w:szCs w:val="21"/>
          <w:highlight w:val="none"/>
          <w:shd w:val="clear" w:color="auto" w:fill="FFFFFF"/>
          <w:lang w:val="en-US" w:eastAsia="zh-CN"/>
        </w:rPr>
        <w:t xml:space="preserve"> 9 </w:t>
      </w:r>
      <w:r>
        <w:rPr>
          <w:rFonts w:hint="eastAsia" w:ascii="宋体" w:hAnsi="宋体" w:cs="仿宋_GB2312"/>
          <w:color w:val="auto"/>
          <w:sz w:val="21"/>
          <w:szCs w:val="21"/>
          <w:highlight w:val="none"/>
          <w:shd w:val="clear" w:color="auto" w:fill="FFFFFF"/>
          <w:lang w:val="zh-CN"/>
        </w:rPr>
        <w:t>月</w:t>
      </w:r>
      <w:r>
        <w:rPr>
          <w:rFonts w:hint="eastAsia" w:ascii="宋体" w:hAnsi="宋体" w:cs="仿宋_GB2312"/>
          <w:color w:val="auto"/>
          <w:sz w:val="21"/>
          <w:szCs w:val="21"/>
          <w:highlight w:val="none"/>
          <w:shd w:val="clear" w:color="auto" w:fill="FFFFFF"/>
          <w:lang w:val="en-US" w:eastAsia="zh-CN"/>
        </w:rPr>
        <w:t xml:space="preserve"> 20</w:t>
      </w:r>
      <w:r>
        <w:rPr>
          <w:rFonts w:hint="eastAsia" w:ascii="宋体" w:hAnsi="宋体" w:cs="仿宋_GB2312"/>
          <w:color w:val="auto"/>
          <w:sz w:val="21"/>
          <w:szCs w:val="21"/>
          <w:highlight w:val="none"/>
          <w:shd w:val="clear" w:color="auto" w:fill="FFFFFF"/>
          <w:lang w:val="zh-CN"/>
        </w:rPr>
        <w:t>日</w:t>
      </w:r>
      <w:r>
        <w:rPr>
          <w:rFonts w:hint="eastAsia" w:ascii="宋体" w:hAnsi="宋体" w:cs="仿宋_GB2312"/>
          <w:color w:val="auto"/>
          <w:sz w:val="21"/>
          <w:szCs w:val="21"/>
          <w:highlight w:val="none"/>
          <w:shd w:val="clear" w:color="auto" w:fill="FFFFFF"/>
          <w:lang w:val="en-US" w:eastAsia="zh-CN"/>
        </w:rPr>
        <w:t>9</w:t>
      </w:r>
      <w:r>
        <w:rPr>
          <w:rFonts w:hint="eastAsia" w:ascii="宋体" w:hAnsi="宋体" w:cs="仿宋_GB2312"/>
          <w:color w:val="auto"/>
          <w:sz w:val="21"/>
          <w:szCs w:val="21"/>
          <w:highlight w:val="none"/>
          <w:shd w:val="clear" w:color="auto" w:fill="FFFFFF"/>
          <w:lang w:val="zh-CN"/>
        </w:rPr>
        <w:t>时</w:t>
      </w:r>
      <w:r>
        <w:rPr>
          <w:rFonts w:hint="eastAsia" w:ascii="宋体" w:hAnsi="宋体" w:cs="仿宋_GB2312"/>
          <w:color w:val="auto"/>
          <w:sz w:val="21"/>
          <w:szCs w:val="21"/>
          <w:highlight w:val="none"/>
          <w:shd w:val="clear" w:color="auto" w:fill="FFFFFF"/>
          <w:lang w:val="en-US" w:eastAsia="zh-CN"/>
        </w:rPr>
        <w:t>0</w:t>
      </w:r>
      <w:r>
        <w:rPr>
          <w:rFonts w:hint="eastAsia" w:ascii="宋体" w:hAnsi="宋体" w:cs="仿宋_GB2312"/>
          <w:color w:val="auto"/>
          <w:sz w:val="21"/>
          <w:szCs w:val="21"/>
          <w:highlight w:val="none"/>
          <w:shd w:val="clear" w:color="auto" w:fill="FFFFFF"/>
          <w:lang w:val="zh-CN"/>
        </w:rPr>
        <w:t>0分至202</w:t>
      </w:r>
      <w:r>
        <w:rPr>
          <w:rFonts w:hint="eastAsia" w:ascii="宋体" w:hAnsi="宋体" w:cs="仿宋_GB2312"/>
          <w:color w:val="auto"/>
          <w:sz w:val="21"/>
          <w:szCs w:val="21"/>
          <w:highlight w:val="none"/>
          <w:shd w:val="clear" w:color="auto" w:fill="FFFFFF"/>
          <w:lang w:val="en-US" w:eastAsia="zh-CN"/>
        </w:rPr>
        <w:t>4</w:t>
      </w:r>
      <w:r>
        <w:rPr>
          <w:rFonts w:hint="eastAsia" w:ascii="宋体" w:hAnsi="宋体" w:cs="仿宋_GB2312"/>
          <w:color w:val="auto"/>
          <w:sz w:val="21"/>
          <w:szCs w:val="21"/>
          <w:highlight w:val="none"/>
          <w:shd w:val="clear" w:color="auto" w:fill="FFFFFF"/>
          <w:lang w:val="zh-CN"/>
        </w:rPr>
        <w:t>年</w:t>
      </w:r>
      <w:r>
        <w:rPr>
          <w:rFonts w:hint="eastAsia" w:ascii="宋体" w:hAnsi="宋体" w:cs="仿宋_GB2312"/>
          <w:color w:val="auto"/>
          <w:sz w:val="21"/>
          <w:szCs w:val="21"/>
          <w:highlight w:val="none"/>
          <w:shd w:val="clear" w:color="auto" w:fill="FFFFFF"/>
          <w:lang w:val="en-US" w:eastAsia="zh-CN"/>
        </w:rPr>
        <w:t xml:space="preserve"> 9 </w:t>
      </w:r>
      <w:r>
        <w:rPr>
          <w:rFonts w:hint="eastAsia" w:ascii="宋体" w:hAnsi="宋体" w:cs="仿宋_GB2312"/>
          <w:color w:val="auto"/>
          <w:sz w:val="21"/>
          <w:szCs w:val="21"/>
          <w:highlight w:val="none"/>
          <w:shd w:val="clear" w:color="auto" w:fill="FFFFFF"/>
          <w:lang w:val="zh-CN"/>
        </w:rPr>
        <w:t>月</w:t>
      </w:r>
      <w:r>
        <w:rPr>
          <w:rFonts w:hint="eastAsia" w:ascii="宋体" w:hAnsi="宋体" w:cs="仿宋_GB2312"/>
          <w:color w:val="auto"/>
          <w:sz w:val="21"/>
          <w:szCs w:val="21"/>
          <w:highlight w:val="none"/>
          <w:shd w:val="clear" w:color="auto" w:fill="FFFFFF"/>
          <w:lang w:val="en-US" w:eastAsia="zh-CN"/>
        </w:rPr>
        <w:t xml:space="preserve"> 26 </w:t>
      </w:r>
      <w:r>
        <w:rPr>
          <w:rFonts w:hint="eastAsia" w:ascii="宋体" w:hAnsi="宋体" w:cs="仿宋_GB2312"/>
          <w:color w:val="auto"/>
          <w:sz w:val="21"/>
          <w:szCs w:val="21"/>
          <w:highlight w:val="none"/>
          <w:shd w:val="clear" w:color="auto" w:fill="FFFFFF"/>
          <w:lang w:val="zh-CN"/>
        </w:rPr>
        <w:t>日</w:t>
      </w:r>
      <w:r>
        <w:rPr>
          <w:rFonts w:hint="eastAsia" w:ascii="宋体" w:hAnsi="宋体" w:cs="仿宋_GB2312"/>
          <w:color w:val="auto"/>
          <w:sz w:val="21"/>
          <w:szCs w:val="21"/>
          <w:highlight w:val="none"/>
          <w:shd w:val="clear" w:color="auto" w:fill="FFFFFF"/>
        </w:rPr>
        <w:t>17</w:t>
      </w:r>
      <w:r>
        <w:rPr>
          <w:rFonts w:hint="eastAsia" w:ascii="宋体" w:hAnsi="宋体" w:cs="仿宋_GB2312"/>
          <w:color w:val="auto"/>
          <w:sz w:val="21"/>
          <w:szCs w:val="21"/>
          <w:highlight w:val="none"/>
          <w:shd w:val="clear" w:color="auto" w:fill="FFFFFF"/>
          <w:lang w:val="zh-CN"/>
        </w:rPr>
        <w:t>时30分(北京时间，下同)，需前往</w:t>
      </w:r>
      <w:r>
        <w:rPr>
          <w:rFonts w:hint="eastAsia" w:ascii="宋体" w:hAnsi="宋体" w:cs="仿宋_GB2312"/>
          <w:color w:val="auto"/>
          <w:sz w:val="21"/>
          <w:szCs w:val="21"/>
          <w:highlight w:val="none"/>
          <w:shd w:val="clear" w:color="auto" w:fill="FFFFFF"/>
        </w:rPr>
        <w:t>新点交易平台</w:t>
      </w:r>
      <w:r>
        <w:rPr>
          <w:rFonts w:hint="eastAsia" w:ascii="宋体" w:hAnsi="宋体" w:cs="仿宋_GB2312"/>
          <w:color w:val="auto"/>
          <w:sz w:val="21"/>
          <w:szCs w:val="21"/>
          <w:highlight w:val="none"/>
          <w:shd w:val="clear" w:color="auto" w:fill="FFFFFF"/>
          <w:lang w:val="zh-CN"/>
        </w:rPr>
        <w:t>（https://xctzjt.etrading.cn/）下载电子招标文件。</w:t>
      </w:r>
    </w:p>
    <w:p w14:paraId="45A3F4ED">
      <w:pPr>
        <w:pStyle w:val="26"/>
        <w:widowControl/>
        <w:shd w:val="clear" w:color="auto" w:fill="FFFFFF"/>
        <w:spacing w:line="360" w:lineRule="auto"/>
        <w:ind w:firstLine="420"/>
        <w:contextualSpacing/>
        <w:jc w:val="left"/>
        <w:rPr>
          <w:rFonts w:ascii="宋体" w:hAnsi="宋体" w:cs="仿宋_GB2312"/>
          <w:color w:val="auto"/>
          <w:sz w:val="21"/>
          <w:szCs w:val="21"/>
          <w:highlight w:val="none"/>
          <w:shd w:val="clear" w:color="auto" w:fill="FFFFFF"/>
          <w:lang w:val="zh-CN"/>
        </w:rPr>
      </w:pPr>
      <w:r>
        <w:rPr>
          <w:rFonts w:hint="eastAsia" w:ascii="宋体" w:hAnsi="宋体" w:cs="仿宋_GB2312"/>
          <w:color w:val="auto"/>
          <w:sz w:val="21"/>
          <w:szCs w:val="21"/>
          <w:highlight w:val="none"/>
          <w:shd w:val="clear" w:color="auto" w:fill="FFFFFF"/>
        </w:rPr>
        <w:t>4</w:t>
      </w:r>
      <w:r>
        <w:rPr>
          <w:rFonts w:hint="eastAsia" w:ascii="宋体" w:hAnsi="宋体" w:cs="仿宋_GB2312"/>
          <w:color w:val="auto"/>
          <w:sz w:val="21"/>
          <w:szCs w:val="21"/>
          <w:highlight w:val="none"/>
          <w:shd w:val="clear" w:color="auto" w:fill="FFFFFF"/>
          <w:lang w:val="zh-CN"/>
        </w:rPr>
        <w:t>.2下载者请在文件发售截止时间前自行下载；</w:t>
      </w:r>
    </w:p>
    <w:p w14:paraId="252FE1D4">
      <w:pPr>
        <w:pStyle w:val="26"/>
        <w:widowControl/>
        <w:shd w:val="clear" w:color="auto" w:fill="FFFFFF"/>
        <w:spacing w:line="360" w:lineRule="auto"/>
        <w:ind w:firstLine="420"/>
        <w:contextualSpacing/>
        <w:jc w:val="left"/>
        <w:rPr>
          <w:rFonts w:ascii="宋体" w:hAnsi="宋体" w:cs="仿宋_GB2312"/>
          <w:color w:val="auto"/>
          <w:sz w:val="21"/>
          <w:szCs w:val="21"/>
          <w:highlight w:val="none"/>
          <w:shd w:val="clear" w:color="auto" w:fill="FFFFFF"/>
          <w:lang w:val="zh-CN"/>
        </w:rPr>
      </w:pPr>
      <w:r>
        <w:rPr>
          <w:rFonts w:hint="eastAsia" w:ascii="宋体" w:hAnsi="宋体" w:cs="仿宋_GB2312"/>
          <w:color w:val="auto"/>
          <w:sz w:val="21"/>
          <w:szCs w:val="21"/>
          <w:highlight w:val="none"/>
          <w:shd w:val="clear" w:color="auto" w:fill="FFFFFF"/>
        </w:rPr>
        <w:t>4</w:t>
      </w:r>
      <w:r>
        <w:rPr>
          <w:rFonts w:hint="eastAsia" w:ascii="宋体" w:hAnsi="宋体" w:cs="仿宋_GB2312"/>
          <w:color w:val="auto"/>
          <w:sz w:val="21"/>
          <w:szCs w:val="21"/>
          <w:highlight w:val="none"/>
          <w:shd w:val="clear" w:color="auto" w:fill="FFFFFF"/>
          <w:lang w:val="zh-CN"/>
        </w:rPr>
        <w:t>.3下载者登陆平台前，需前往</w:t>
      </w:r>
      <w:r>
        <w:rPr>
          <w:rFonts w:hint="eastAsia" w:ascii="宋体" w:hAnsi="宋体" w:cs="仿宋_GB2312"/>
          <w:color w:val="auto"/>
          <w:sz w:val="21"/>
          <w:szCs w:val="21"/>
          <w:highlight w:val="none"/>
          <w:shd w:val="clear" w:color="auto" w:fill="FFFFFF"/>
        </w:rPr>
        <w:t>新点交易平台</w:t>
      </w:r>
      <w:r>
        <w:rPr>
          <w:rFonts w:hint="eastAsia" w:ascii="宋体" w:hAnsi="宋体" w:cs="仿宋_GB2312"/>
          <w:color w:val="auto"/>
          <w:sz w:val="21"/>
          <w:szCs w:val="21"/>
          <w:highlight w:val="none"/>
          <w:shd w:val="clear" w:color="auto" w:fill="FFFFFF"/>
          <w:lang w:val="zh-CN"/>
        </w:rPr>
        <w:t>（https://xctzjt.etrading.cn/）注册并完成CA绑定；注册成功后，可以及时参与平台上所有发布的招标项目；</w:t>
      </w:r>
    </w:p>
    <w:p w14:paraId="5F3E441B">
      <w:pPr>
        <w:spacing w:line="360" w:lineRule="auto"/>
        <w:rPr>
          <w:rFonts w:ascii="宋体" w:hAnsi="宋体"/>
          <w:b/>
          <w:bCs/>
          <w:color w:val="auto"/>
          <w:szCs w:val="21"/>
          <w:highlight w:val="none"/>
        </w:rPr>
      </w:pPr>
      <w:r>
        <w:rPr>
          <w:rFonts w:hint="eastAsia" w:ascii="宋体" w:hAnsi="宋体"/>
          <w:b/>
          <w:bCs/>
          <w:color w:val="auto"/>
          <w:szCs w:val="21"/>
          <w:highlight w:val="none"/>
        </w:rPr>
        <w:t>五、投标截止时间及地点</w:t>
      </w:r>
      <w:r>
        <w:rPr>
          <w:rFonts w:hint="eastAsia" w:ascii="宋体" w:hAnsi="宋体"/>
          <w:b/>
          <w:bCs/>
          <w:color w:val="auto"/>
          <w:szCs w:val="21"/>
          <w:highlight w:val="none"/>
          <w:lang w:eastAsia="zh-CN"/>
        </w:rPr>
        <w:t>、</w:t>
      </w:r>
      <w:r>
        <w:rPr>
          <w:rFonts w:hint="eastAsia" w:ascii="宋体" w:hAnsi="宋体"/>
          <w:b/>
          <w:bCs/>
          <w:color w:val="auto"/>
          <w:szCs w:val="21"/>
          <w:highlight w:val="none"/>
        </w:rPr>
        <w:t>方式：</w:t>
      </w:r>
    </w:p>
    <w:p w14:paraId="4FFE1A01">
      <w:pPr>
        <w:pStyle w:val="26"/>
        <w:widowControl/>
        <w:shd w:val="clear" w:color="auto" w:fill="FFFFFF"/>
        <w:spacing w:line="360" w:lineRule="auto"/>
        <w:ind w:firstLine="420"/>
        <w:contextualSpacing/>
        <w:jc w:val="left"/>
        <w:rPr>
          <w:rFonts w:ascii="宋体" w:hAnsi="宋体" w:cs="仿宋_GB2312"/>
          <w:color w:val="auto"/>
          <w:sz w:val="21"/>
          <w:szCs w:val="21"/>
          <w:highlight w:val="none"/>
          <w:shd w:val="clear" w:color="auto" w:fill="FFFFFF"/>
          <w:lang w:val="zh-CN"/>
        </w:rPr>
      </w:pPr>
      <w:r>
        <w:rPr>
          <w:rFonts w:hint="eastAsia" w:ascii="宋体" w:hAnsi="宋体" w:cs="仿宋_GB2312"/>
          <w:color w:val="auto"/>
          <w:sz w:val="21"/>
          <w:szCs w:val="21"/>
          <w:highlight w:val="none"/>
          <w:shd w:val="clear" w:color="auto" w:fill="FFFFFF"/>
        </w:rPr>
        <w:t>5</w:t>
      </w:r>
      <w:r>
        <w:rPr>
          <w:rFonts w:hint="eastAsia" w:ascii="宋体" w:hAnsi="宋体" w:cs="仿宋_GB2312"/>
          <w:color w:val="auto"/>
          <w:sz w:val="21"/>
          <w:szCs w:val="21"/>
          <w:highlight w:val="none"/>
          <w:shd w:val="clear" w:color="auto" w:fill="FFFFFF"/>
          <w:lang w:val="zh-CN"/>
        </w:rPr>
        <w:t>.1投标截止时间：202</w:t>
      </w:r>
      <w:r>
        <w:rPr>
          <w:rFonts w:hint="eastAsia" w:ascii="宋体" w:hAnsi="宋体" w:cs="仿宋_GB2312"/>
          <w:color w:val="auto"/>
          <w:sz w:val="21"/>
          <w:szCs w:val="21"/>
          <w:highlight w:val="none"/>
          <w:shd w:val="clear" w:color="auto" w:fill="FFFFFF"/>
          <w:lang w:val="en-US" w:eastAsia="zh-CN"/>
        </w:rPr>
        <w:t>4</w:t>
      </w:r>
      <w:r>
        <w:rPr>
          <w:rFonts w:hint="eastAsia" w:ascii="宋体" w:hAnsi="宋体" w:cs="仿宋_GB2312"/>
          <w:color w:val="auto"/>
          <w:sz w:val="21"/>
          <w:szCs w:val="21"/>
          <w:highlight w:val="none"/>
          <w:shd w:val="clear" w:color="auto" w:fill="FFFFFF"/>
          <w:lang w:val="zh-CN"/>
        </w:rPr>
        <w:t>年</w:t>
      </w:r>
      <w:r>
        <w:rPr>
          <w:rFonts w:hint="eastAsia" w:ascii="宋体" w:hAnsi="宋体" w:cs="仿宋_GB2312"/>
          <w:color w:val="auto"/>
          <w:sz w:val="21"/>
          <w:szCs w:val="21"/>
          <w:highlight w:val="none"/>
          <w:shd w:val="clear" w:color="auto" w:fill="FFFFFF"/>
          <w:lang w:val="en-US" w:eastAsia="zh-CN"/>
        </w:rPr>
        <w:t xml:space="preserve"> 9 </w:t>
      </w:r>
      <w:r>
        <w:rPr>
          <w:rFonts w:hint="eastAsia" w:ascii="宋体" w:hAnsi="宋体" w:cs="仿宋_GB2312"/>
          <w:color w:val="auto"/>
          <w:sz w:val="21"/>
          <w:szCs w:val="21"/>
          <w:highlight w:val="none"/>
          <w:shd w:val="clear" w:color="auto" w:fill="FFFFFF"/>
          <w:lang w:val="zh-CN"/>
        </w:rPr>
        <w:t>月</w:t>
      </w:r>
      <w:r>
        <w:rPr>
          <w:rFonts w:hint="eastAsia" w:ascii="宋体" w:hAnsi="宋体" w:cs="仿宋_GB2312"/>
          <w:color w:val="auto"/>
          <w:sz w:val="21"/>
          <w:szCs w:val="21"/>
          <w:highlight w:val="none"/>
          <w:shd w:val="clear" w:color="auto" w:fill="FFFFFF"/>
          <w:lang w:val="en-US" w:eastAsia="zh-CN"/>
        </w:rPr>
        <w:t xml:space="preserve"> 30 </w:t>
      </w:r>
      <w:r>
        <w:rPr>
          <w:rFonts w:hint="eastAsia" w:ascii="宋体" w:hAnsi="宋体" w:cs="仿宋_GB2312"/>
          <w:color w:val="auto"/>
          <w:sz w:val="21"/>
          <w:szCs w:val="21"/>
          <w:highlight w:val="none"/>
          <w:shd w:val="clear" w:color="auto" w:fill="FFFFFF"/>
          <w:lang w:val="zh-CN"/>
        </w:rPr>
        <w:t>日</w:t>
      </w:r>
      <w:bookmarkStart w:id="9" w:name="OLE_LINK19"/>
      <w:r>
        <w:rPr>
          <w:rFonts w:hint="eastAsia" w:ascii="宋体" w:hAnsi="宋体" w:cs="仿宋_GB2312"/>
          <w:color w:val="auto"/>
          <w:sz w:val="21"/>
          <w:szCs w:val="21"/>
          <w:highlight w:val="none"/>
          <w:shd w:val="clear" w:color="auto" w:fill="FFFFFF"/>
          <w:lang w:val="en-US" w:eastAsia="zh-CN"/>
        </w:rPr>
        <w:t>14</w:t>
      </w:r>
      <w:r>
        <w:rPr>
          <w:rFonts w:hint="eastAsia" w:ascii="宋体" w:hAnsi="宋体" w:cs="仿宋_GB2312"/>
          <w:color w:val="auto"/>
          <w:sz w:val="21"/>
          <w:szCs w:val="21"/>
          <w:highlight w:val="none"/>
          <w:shd w:val="clear" w:color="auto" w:fill="FFFFFF"/>
        </w:rPr>
        <w:t xml:space="preserve"> </w:t>
      </w:r>
      <w:bookmarkEnd w:id="9"/>
      <w:r>
        <w:rPr>
          <w:rFonts w:hint="eastAsia" w:ascii="宋体" w:hAnsi="宋体" w:cs="仿宋_GB2312"/>
          <w:color w:val="auto"/>
          <w:sz w:val="21"/>
          <w:szCs w:val="21"/>
          <w:highlight w:val="none"/>
          <w:shd w:val="clear" w:color="auto" w:fill="FFFFFF"/>
          <w:lang w:val="zh-CN"/>
        </w:rPr>
        <w:t>时</w:t>
      </w:r>
      <w:r>
        <w:rPr>
          <w:rFonts w:hint="eastAsia" w:ascii="宋体" w:hAnsi="宋体" w:cs="仿宋_GB2312"/>
          <w:color w:val="auto"/>
          <w:sz w:val="21"/>
          <w:szCs w:val="21"/>
          <w:highlight w:val="none"/>
          <w:shd w:val="clear" w:color="auto" w:fill="FFFFFF"/>
        </w:rPr>
        <w:t xml:space="preserve"> 00</w:t>
      </w:r>
      <w:r>
        <w:rPr>
          <w:rFonts w:hint="eastAsia" w:ascii="宋体" w:hAnsi="宋体" w:cs="仿宋_GB2312"/>
          <w:color w:val="auto"/>
          <w:sz w:val="21"/>
          <w:szCs w:val="21"/>
          <w:highlight w:val="none"/>
          <w:shd w:val="clear" w:color="auto" w:fill="FFFFFF"/>
          <w:lang w:val="zh-CN"/>
        </w:rPr>
        <w:t>分（北京时间）；</w:t>
      </w:r>
    </w:p>
    <w:p w14:paraId="3C715155">
      <w:pPr>
        <w:pStyle w:val="26"/>
        <w:widowControl/>
        <w:shd w:val="clear" w:color="auto" w:fill="FFFFFF"/>
        <w:spacing w:line="360" w:lineRule="auto"/>
        <w:ind w:firstLine="420"/>
        <w:contextualSpacing/>
        <w:jc w:val="left"/>
        <w:rPr>
          <w:rFonts w:ascii="宋体" w:hAnsi="宋体" w:cs="仿宋_GB2312"/>
          <w:color w:val="auto"/>
          <w:sz w:val="21"/>
          <w:szCs w:val="21"/>
          <w:highlight w:val="none"/>
          <w:shd w:val="clear" w:color="auto" w:fill="FFFFFF"/>
          <w:lang w:val="zh-CN"/>
        </w:rPr>
      </w:pPr>
      <w:r>
        <w:rPr>
          <w:rFonts w:hint="eastAsia" w:ascii="宋体" w:hAnsi="宋体" w:cs="仿宋_GB2312"/>
          <w:color w:val="auto"/>
          <w:sz w:val="21"/>
          <w:szCs w:val="21"/>
          <w:highlight w:val="none"/>
          <w:shd w:val="clear" w:color="auto" w:fill="FFFFFF"/>
        </w:rPr>
        <w:t>5</w:t>
      </w:r>
      <w:r>
        <w:rPr>
          <w:rFonts w:hint="eastAsia" w:ascii="宋体" w:hAnsi="宋体" w:cs="仿宋_GB2312"/>
          <w:color w:val="auto"/>
          <w:sz w:val="21"/>
          <w:szCs w:val="21"/>
          <w:highlight w:val="none"/>
          <w:shd w:val="clear" w:color="auto" w:fill="FFFFFF"/>
          <w:lang w:val="zh-CN"/>
        </w:rPr>
        <w:t>.2投标人需使用系统提供的投标文件制作工具制作投标文件，并按要求上传电子投标文件。电子投标文件逾期上传的，招标人不予受理。</w:t>
      </w:r>
    </w:p>
    <w:p w14:paraId="7EDA2604">
      <w:pPr>
        <w:pStyle w:val="26"/>
        <w:widowControl/>
        <w:shd w:val="clear" w:color="auto" w:fill="FFFFFF"/>
        <w:spacing w:line="360" w:lineRule="auto"/>
        <w:ind w:firstLine="420"/>
        <w:contextualSpacing/>
        <w:jc w:val="left"/>
        <w:rPr>
          <w:rFonts w:hint="eastAsia" w:ascii="宋体" w:hAnsi="宋体" w:eastAsia="宋体" w:cs="仿宋_GB2312"/>
          <w:color w:val="auto"/>
          <w:sz w:val="21"/>
          <w:szCs w:val="21"/>
          <w:highlight w:val="none"/>
          <w:shd w:val="clear" w:color="auto" w:fill="FFFFFF"/>
          <w:lang w:val="en-US" w:eastAsia="zh-CN"/>
        </w:rPr>
      </w:pPr>
      <w:r>
        <w:rPr>
          <w:rFonts w:hint="eastAsia" w:ascii="宋体" w:hAnsi="宋体" w:cs="仿宋_GB2312"/>
          <w:color w:val="auto"/>
          <w:sz w:val="21"/>
          <w:szCs w:val="21"/>
          <w:highlight w:val="none"/>
          <w:shd w:val="clear" w:color="auto" w:fill="FFFFFF"/>
        </w:rPr>
        <w:t>5</w:t>
      </w:r>
      <w:r>
        <w:rPr>
          <w:rFonts w:hint="eastAsia" w:ascii="宋体" w:hAnsi="宋体" w:cs="仿宋_GB2312"/>
          <w:color w:val="auto"/>
          <w:sz w:val="21"/>
          <w:szCs w:val="21"/>
          <w:highlight w:val="none"/>
          <w:shd w:val="clear" w:color="auto" w:fill="FFFFFF"/>
          <w:lang w:val="zh-CN"/>
        </w:rPr>
        <w:t>.3开标地点：许昌市智慧信息产业园综合楼四楼不见面开标室。（本项目采用远程不见面开标方式，投标人无须到现场）。</w:t>
      </w:r>
      <w:r>
        <w:rPr>
          <w:rFonts w:hint="eastAsia" w:ascii="宋体" w:hAnsi="宋体" w:cs="仿宋_GB2312"/>
          <w:color w:val="auto"/>
          <w:sz w:val="21"/>
          <w:szCs w:val="21"/>
          <w:highlight w:val="none"/>
          <w:shd w:val="clear" w:color="auto" w:fill="FFFFFF"/>
          <w:lang w:val="en-US" w:eastAsia="zh-CN"/>
        </w:rPr>
        <w:tab/>
      </w:r>
    </w:p>
    <w:p w14:paraId="4F5DBDC7">
      <w:pPr>
        <w:pStyle w:val="26"/>
        <w:widowControl/>
        <w:shd w:val="clear" w:color="auto" w:fill="FFFFFF"/>
        <w:spacing w:line="360" w:lineRule="auto"/>
        <w:ind w:firstLine="420"/>
        <w:contextualSpacing/>
        <w:jc w:val="left"/>
        <w:rPr>
          <w:rFonts w:ascii="宋体" w:hAnsi="宋体" w:cs="仿宋_GB2312"/>
          <w:color w:val="auto"/>
          <w:sz w:val="21"/>
          <w:szCs w:val="21"/>
          <w:highlight w:val="none"/>
          <w:shd w:val="clear" w:color="auto" w:fill="FFFFFF"/>
          <w:lang w:val="zh-CN"/>
        </w:rPr>
      </w:pPr>
      <w:r>
        <w:rPr>
          <w:rFonts w:hint="eastAsia" w:ascii="宋体" w:hAnsi="宋体" w:cs="仿宋_GB2312"/>
          <w:color w:val="auto"/>
          <w:sz w:val="21"/>
          <w:szCs w:val="21"/>
          <w:highlight w:val="none"/>
          <w:shd w:val="clear" w:color="auto" w:fill="FFFFFF"/>
        </w:rPr>
        <w:t>5</w:t>
      </w:r>
      <w:r>
        <w:rPr>
          <w:rFonts w:hint="eastAsia" w:ascii="宋体" w:hAnsi="宋体" w:cs="仿宋_GB2312"/>
          <w:color w:val="auto"/>
          <w:sz w:val="21"/>
          <w:szCs w:val="21"/>
          <w:highlight w:val="none"/>
          <w:shd w:val="clear" w:color="auto" w:fill="FFFFFF"/>
          <w:lang w:val="zh-CN"/>
        </w:rPr>
        <w:t>.4电子投标文件解密：投标单位上传的加密电子投标文件需</w:t>
      </w:r>
      <w:r>
        <w:rPr>
          <w:rFonts w:hint="eastAsia" w:ascii="宋体" w:hAnsi="宋体" w:cs="仿宋_GB2312"/>
          <w:color w:val="auto"/>
          <w:sz w:val="21"/>
          <w:szCs w:val="21"/>
          <w:highlight w:val="none"/>
          <w:shd w:val="clear" w:color="auto" w:fill="FFFFFF"/>
        </w:rPr>
        <w:t>在</w:t>
      </w:r>
      <w:r>
        <w:rPr>
          <w:rFonts w:hint="eastAsia" w:ascii="宋体" w:hAnsi="宋体" w:cs="仿宋_GB2312"/>
          <w:color w:val="auto"/>
          <w:sz w:val="21"/>
          <w:szCs w:val="21"/>
          <w:highlight w:val="none"/>
          <w:shd w:val="clear" w:color="auto" w:fill="FFFFFF"/>
          <w:lang w:val="zh-CN"/>
        </w:rPr>
        <w:t>规定时间内解密，因投标单位自身原因造成解密失败的，投标文件不予接收，一切后果由投标单位负责。</w:t>
      </w:r>
    </w:p>
    <w:p w14:paraId="52FF29FA">
      <w:pPr>
        <w:pStyle w:val="26"/>
        <w:widowControl/>
        <w:shd w:val="clear" w:color="auto" w:fill="FFFFFF"/>
        <w:spacing w:line="360" w:lineRule="auto"/>
        <w:ind w:firstLine="420"/>
        <w:contextualSpacing/>
        <w:jc w:val="left"/>
        <w:rPr>
          <w:rFonts w:ascii="宋体" w:hAnsi="宋体" w:cs="黑体"/>
          <w:b/>
          <w:bCs/>
          <w:color w:val="auto"/>
          <w:sz w:val="21"/>
          <w:szCs w:val="21"/>
          <w:highlight w:val="none"/>
          <w:shd w:val="clear" w:color="auto" w:fill="FFFFFF"/>
        </w:rPr>
      </w:pPr>
      <w:r>
        <w:rPr>
          <w:rFonts w:hint="eastAsia" w:ascii="宋体" w:hAnsi="宋体" w:cs="黑体"/>
          <w:b/>
          <w:bCs/>
          <w:color w:val="auto"/>
          <w:sz w:val="21"/>
          <w:szCs w:val="21"/>
          <w:highlight w:val="none"/>
          <w:shd w:val="clear" w:color="auto" w:fill="FFFFFF"/>
        </w:rPr>
        <w:t>六、本次采购公告同时在《中国招标投标公共服务平台》、《新点交易平台》、《</w:t>
      </w:r>
      <w:r>
        <w:rPr>
          <w:rFonts w:hint="eastAsia" w:ascii="宋体" w:hAnsi="宋体" w:cs="黑体"/>
          <w:b/>
          <w:bCs/>
          <w:color w:val="auto"/>
          <w:sz w:val="21"/>
          <w:szCs w:val="21"/>
          <w:highlight w:val="none"/>
          <w:shd w:val="clear" w:color="auto" w:fill="FFFFFF"/>
          <w:lang w:val="en-US" w:eastAsia="zh-CN"/>
        </w:rPr>
        <w:t>河南省电子</w:t>
      </w:r>
      <w:r>
        <w:rPr>
          <w:rFonts w:hint="eastAsia" w:ascii="宋体" w:hAnsi="宋体" w:cs="黑体"/>
          <w:b/>
          <w:bCs/>
          <w:color w:val="auto"/>
          <w:sz w:val="21"/>
          <w:szCs w:val="21"/>
          <w:highlight w:val="none"/>
          <w:shd w:val="clear" w:color="auto" w:fill="FFFFFF"/>
        </w:rPr>
        <w:t>招标投标公共服务平台》、许昌市投资集团有限公司官网上发布。</w:t>
      </w:r>
    </w:p>
    <w:p w14:paraId="15E9BF35">
      <w:pPr>
        <w:pStyle w:val="26"/>
        <w:widowControl/>
        <w:shd w:val="clear" w:color="auto" w:fill="FFFFFF"/>
        <w:spacing w:line="360" w:lineRule="auto"/>
        <w:ind w:firstLine="420"/>
        <w:contextualSpacing/>
        <w:jc w:val="left"/>
        <w:rPr>
          <w:rFonts w:ascii="宋体" w:hAnsi="宋体" w:cs="黑体"/>
          <w:b/>
          <w:bCs/>
          <w:color w:val="auto"/>
          <w:sz w:val="21"/>
          <w:szCs w:val="21"/>
          <w:highlight w:val="none"/>
          <w:shd w:val="clear" w:color="auto" w:fill="FFFFFF"/>
        </w:rPr>
      </w:pPr>
      <w:r>
        <w:rPr>
          <w:rFonts w:hint="eastAsia" w:ascii="宋体" w:hAnsi="宋体" w:cs="黑体"/>
          <w:b/>
          <w:bCs/>
          <w:color w:val="auto"/>
          <w:sz w:val="21"/>
          <w:szCs w:val="21"/>
          <w:highlight w:val="none"/>
          <w:shd w:val="clear" w:color="auto" w:fill="FFFFFF"/>
        </w:rPr>
        <w:t>七、公告期限</w:t>
      </w:r>
    </w:p>
    <w:p w14:paraId="7BCE9AE4">
      <w:pPr>
        <w:pStyle w:val="26"/>
        <w:widowControl/>
        <w:shd w:val="clear" w:color="auto" w:fill="FFFFFF"/>
        <w:spacing w:line="360" w:lineRule="auto"/>
        <w:ind w:firstLine="420"/>
        <w:contextualSpacing/>
        <w:jc w:val="left"/>
        <w:rPr>
          <w:rFonts w:ascii="宋体" w:hAnsi="宋体" w:cs="仿宋_GB2312"/>
          <w:color w:val="auto"/>
          <w:sz w:val="21"/>
          <w:szCs w:val="21"/>
          <w:highlight w:val="none"/>
        </w:rPr>
      </w:pPr>
      <w:r>
        <w:rPr>
          <w:rFonts w:hint="eastAsia" w:ascii="宋体" w:hAnsi="宋体" w:cs="仿宋_GB2312"/>
          <w:color w:val="auto"/>
          <w:sz w:val="21"/>
          <w:szCs w:val="21"/>
          <w:highlight w:val="none"/>
        </w:rPr>
        <w:t>本公告自发布之日起公告期限为5个工作日。</w:t>
      </w:r>
    </w:p>
    <w:p w14:paraId="201D418D">
      <w:pPr>
        <w:pStyle w:val="26"/>
        <w:widowControl/>
        <w:shd w:val="clear" w:color="auto" w:fill="FFFFFF"/>
        <w:spacing w:line="360" w:lineRule="auto"/>
        <w:ind w:firstLine="420"/>
        <w:contextualSpacing/>
        <w:jc w:val="left"/>
        <w:rPr>
          <w:rFonts w:ascii="宋体" w:hAnsi="宋体" w:cs="黑体"/>
          <w:b/>
          <w:bCs/>
          <w:color w:val="auto"/>
          <w:sz w:val="21"/>
          <w:szCs w:val="21"/>
          <w:highlight w:val="none"/>
          <w:shd w:val="clear" w:color="auto" w:fill="FFFFFF"/>
        </w:rPr>
      </w:pPr>
      <w:r>
        <w:rPr>
          <w:rFonts w:hint="eastAsia" w:ascii="宋体" w:hAnsi="宋体" w:cs="黑体"/>
          <w:b/>
          <w:bCs/>
          <w:color w:val="auto"/>
          <w:sz w:val="21"/>
          <w:szCs w:val="21"/>
          <w:highlight w:val="none"/>
          <w:shd w:val="clear" w:color="auto" w:fill="FFFFFF"/>
        </w:rPr>
        <w:t>八、联系方式</w:t>
      </w:r>
    </w:p>
    <w:p w14:paraId="1AAFABF5">
      <w:pPr>
        <w:spacing w:line="440" w:lineRule="exact"/>
        <w:ind w:firstLine="420"/>
        <w:rPr>
          <w:rFonts w:hint="eastAsia" w:ascii="宋体" w:hAnsi="宋体" w:cs="仿宋_GB2312"/>
          <w:color w:val="auto"/>
          <w:szCs w:val="21"/>
          <w:highlight w:val="none"/>
          <w:lang w:val="en-US" w:eastAsia="zh-CN"/>
        </w:rPr>
      </w:pPr>
      <w:bookmarkStart w:id="10" w:name="OLE_LINK8"/>
      <w:bookmarkStart w:id="11" w:name="OLE_LINK12"/>
      <w:r>
        <w:rPr>
          <w:rFonts w:hint="eastAsia" w:ascii="宋体" w:hAnsi="宋体" w:cs="仿宋_GB2312"/>
          <w:color w:val="auto"/>
          <w:szCs w:val="21"/>
          <w:highlight w:val="none"/>
          <w:lang w:val="en-US" w:eastAsia="zh-CN"/>
        </w:rPr>
        <w:t>采 购 人：</w:t>
      </w:r>
      <w:bookmarkStart w:id="12" w:name="OLE_LINK7"/>
      <w:r>
        <w:rPr>
          <w:rFonts w:hint="eastAsia" w:ascii="宋体" w:hAnsi="宋体" w:cs="仿宋_GB2312"/>
          <w:color w:val="auto"/>
          <w:szCs w:val="21"/>
          <w:highlight w:val="none"/>
          <w:lang w:val="en-US" w:eastAsia="zh-CN"/>
        </w:rPr>
        <w:t>许昌市文化投资有限责任公司</w:t>
      </w:r>
      <w:bookmarkEnd w:id="12"/>
    </w:p>
    <w:p w14:paraId="1F34EE5A">
      <w:pPr>
        <w:spacing w:line="440" w:lineRule="exact"/>
        <w:ind w:firstLine="420"/>
        <w:rPr>
          <w:rFonts w:hint="default" w:ascii="宋体" w:hAnsi="宋体" w:cs="仿宋_GB2312"/>
          <w:color w:val="auto"/>
          <w:szCs w:val="21"/>
          <w:highlight w:val="none"/>
          <w:lang w:val="en-US" w:eastAsia="zh-CN"/>
        </w:rPr>
      </w:pPr>
      <w:r>
        <w:rPr>
          <w:rFonts w:hint="eastAsia" w:ascii="宋体" w:hAnsi="宋体" w:cs="仿宋_GB2312"/>
          <w:color w:val="auto"/>
          <w:szCs w:val="21"/>
          <w:highlight w:val="none"/>
          <w:lang w:val="en-US" w:eastAsia="zh-CN"/>
        </w:rPr>
        <w:t>联 系 人：马先生</w:t>
      </w:r>
    </w:p>
    <w:p w14:paraId="7E8C8836">
      <w:pPr>
        <w:spacing w:line="440" w:lineRule="exact"/>
        <w:ind w:firstLine="420"/>
        <w:rPr>
          <w:rFonts w:hint="eastAsia" w:ascii="宋体" w:hAnsi="宋体" w:cs="仿宋_GB2312"/>
          <w:color w:val="auto"/>
          <w:szCs w:val="21"/>
          <w:highlight w:val="none"/>
          <w:lang w:val="en-US" w:eastAsia="zh-CN"/>
        </w:rPr>
      </w:pPr>
      <w:r>
        <w:rPr>
          <w:rFonts w:hint="eastAsia" w:ascii="宋体" w:hAnsi="宋体" w:cs="仿宋_GB2312"/>
          <w:color w:val="auto"/>
          <w:szCs w:val="21"/>
          <w:highlight w:val="none"/>
          <w:lang w:val="en-US" w:eastAsia="zh-CN"/>
        </w:rPr>
        <w:t>联系方式：</w:t>
      </w:r>
      <w:bookmarkEnd w:id="10"/>
      <w:r>
        <w:rPr>
          <w:rFonts w:hint="eastAsia" w:ascii="宋体" w:hAnsi="宋体" w:cs="仿宋_GB2312"/>
          <w:color w:val="auto"/>
          <w:szCs w:val="21"/>
          <w:highlight w:val="none"/>
          <w:lang w:val="en-US" w:eastAsia="zh-CN"/>
        </w:rPr>
        <w:t xml:space="preserve">16696885060 </w:t>
      </w:r>
    </w:p>
    <w:bookmarkEnd w:id="11"/>
    <w:p w14:paraId="61134376">
      <w:pPr>
        <w:spacing w:line="440" w:lineRule="exact"/>
        <w:ind w:firstLine="420"/>
        <w:rPr>
          <w:rFonts w:ascii="宋体" w:hAnsi="宋体" w:cs="仿宋_GB2312"/>
          <w:color w:val="auto"/>
          <w:szCs w:val="21"/>
          <w:highlight w:val="none"/>
        </w:rPr>
      </w:pPr>
      <w:bookmarkStart w:id="13" w:name="OLE_LINK11"/>
      <w:r>
        <w:rPr>
          <w:rFonts w:hint="eastAsia" w:ascii="宋体" w:hAnsi="宋体" w:cs="仿宋_GB2312"/>
          <w:color w:val="auto"/>
          <w:szCs w:val="21"/>
          <w:highlight w:val="none"/>
        </w:rPr>
        <w:t>代理机构：河南永明工程管理有限公司</w:t>
      </w:r>
    </w:p>
    <w:p w14:paraId="7ABB6D1A">
      <w:pPr>
        <w:spacing w:line="440" w:lineRule="exact"/>
        <w:ind w:firstLine="420"/>
        <w:rPr>
          <w:rFonts w:hint="default" w:ascii="宋体" w:hAnsi="宋体" w:cs="仿宋_GB2312"/>
          <w:color w:val="auto"/>
          <w:szCs w:val="21"/>
          <w:highlight w:val="none"/>
          <w:lang w:val="en-US"/>
        </w:rPr>
      </w:pPr>
      <w:r>
        <w:rPr>
          <w:rFonts w:hint="eastAsia" w:ascii="宋体" w:hAnsi="宋体" w:cs="仿宋_GB2312"/>
          <w:color w:val="auto"/>
          <w:szCs w:val="21"/>
          <w:highlight w:val="none"/>
        </w:rPr>
        <w:t>联 系 人：</w:t>
      </w:r>
      <w:r>
        <w:rPr>
          <w:rFonts w:hint="eastAsia" w:ascii="宋体" w:hAnsi="宋体" w:cs="仿宋_GB2312"/>
          <w:color w:val="auto"/>
          <w:szCs w:val="21"/>
          <w:highlight w:val="none"/>
          <w:lang w:val="en-US" w:eastAsia="zh-CN"/>
        </w:rPr>
        <w:t>罗先生</w:t>
      </w:r>
    </w:p>
    <w:p w14:paraId="61AC6466">
      <w:pPr>
        <w:spacing w:line="440" w:lineRule="exact"/>
        <w:ind w:firstLine="420"/>
        <w:rPr>
          <w:rFonts w:hint="default" w:ascii="宋体" w:hAnsi="宋体" w:eastAsia="宋体" w:cs="仿宋_GB2312"/>
          <w:color w:val="auto"/>
          <w:szCs w:val="21"/>
          <w:highlight w:val="none"/>
          <w:lang w:val="en-US" w:eastAsia="zh-CN"/>
        </w:rPr>
      </w:pPr>
      <w:r>
        <w:rPr>
          <w:rFonts w:hint="eastAsia" w:ascii="宋体" w:hAnsi="宋体" w:cs="仿宋_GB2312"/>
          <w:color w:val="auto"/>
          <w:szCs w:val="21"/>
          <w:highlight w:val="none"/>
        </w:rPr>
        <w:t>电    话：</w:t>
      </w:r>
      <w:r>
        <w:rPr>
          <w:rFonts w:hint="eastAsia" w:cs="黑体" w:asciiTheme="minorEastAsia" w:hAnsiTheme="minorEastAsia"/>
          <w:b w:val="0"/>
          <w:bCs w:val="0"/>
          <w:color w:val="auto"/>
          <w:lang w:val="en-US" w:eastAsia="zh-CN"/>
        </w:rPr>
        <w:t>0374-5051770</w:t>
      </w:r>
    </w:p>
    <w:bookmarkEnd w:id="13"/>
    <w:p w14:paraId="48A45BA0">
      <w:pPr>
        <w:spacing w:line="440" w:lineRule="exact"/>
        <w:ind w:firstLine="420"/>
        <w:rPr>
          <w:rFonts w:hint="eastAsia" w:ascii="宋体" w:hAnsi="宋体" w:cs="仿宋_GB2312"/>
          <w:color w:val="auto"/>
          <w:szCs w:val="21"/>
          <w:highlight w:val="none"/>
          <w:lang w:val="en-US" w:eastAsia="zh-CN"/>
        </w:rPr>
      </w:pPr>
      <w:r>
        <w:rPr>
          <w:rFonts w:hint="eastAsia" w:ascii="宋体" w:hAnsi="宋体" w:cs="仿宋_GB2312"/>
          <w:color w:val="auto"/>
          <w:szCs w:val="21"/>
          <w:highlight w:val="none"/>
          <w:lang w:val="en-US" w:eastAsia="zh-CN"/>
        </w:rPr>
        <w:t>监督单位：许昌市投资集团有限公司纪委办公室</w:t>
      </w:r>
    </w:p>
    <w:p w14:paraId="02D29BD5">
      <w:pPr>
        <w:spacing w:line="440" w:lineRule="exact"/>
        <w:ind w:firstLine="420"/>
        <w:rPr>
          <w:rFonts w:hint="default" w:ascii="宋体" w:hAnsi="宋体" w:cs="仿宋_GB2312"/>
          <w:color w:val="auto"/>
          <w:szCs w:val="21"/>
          <w:highlight w:val="none"/>
          <w:lang w:val="en-US" w:eastAsia="zh-CN"/>
        </w:rPr>
      </w:pPr>
      <w:r>
        <w:rPr>
          <w:rFonts w:hint="eastAsia" w:ascii="宋体" w:hAnsi="宋体" w:cs="仿宋_GB2312"/>
          <w:color w:val="auto"/>
          <w:szCs w:val="21"/>
          <w:highlight w:val="none"/>
          <w:lang w:val="en-US" w:eastAsia="zh-CN"/>
        </w:rPr>
        <w:t>联系电话：0374-2676531</w:t>
      </w:r>
    </w:p>
    <w:p w14:paraId="4D19F6CC">
      <w:pPr>
        <w:spacing w:line="440" w:lineRule="exact"/>
        <w:ind w:firstLine="420"/>
        <w:jc w:val="right"/>
        <w:rPr>
          <w:rFonts w:hint="eastAsia" w:ascii="宋体" w:hAnsi="宋体" w:cs="仿宋_GB2312"/>
          <w:color w:val="auto"/>
          <w:szCs w:val="21"/>
          <w:highlight w:val="none"/>
          <w:lang w:val="en-US" w:eastAsia="zh-CN"/>
        </w:rPr>
      </w:pPr>
      <w:r>
        <w:rPr>
          <w:rFonts w:hint="eastAsia" w:ascii="宋体" w:hAnsi="宋体" w:cs="仿宋_GB2312"/>
          <w:color w:val="auto"/>
          <w:szCs w:val="21"/>
          <w:highlight w:val="none"/>
          <w:lang w:val="en-US" w:eastAsia="zh-CN"/>
        </w:rPr>
        <w:t>许昌市文化投资有限责任公司</w:t>
      </w:r>
    </w:p>
    <w:p w14:paraId="614493EC">
      <w:pPr>
        <w:spacing w:line="440" w:lineRule="exact"/>
        <w:ind w:firstLine="420"/>
        <w:jc w:val="right"/>
        <w:rPr>
          <w:rFonts w:ascii="宋体" w:hAnsi="宋体" w:cs="仿宋_GB2312"/>
          <w:color w:val="auto"/>
          <w:szCs w:val="21"/>
          <w:highlight w:val="none"/>
        </w:rPr>
      </w:pPr>
      <w:r>
        <w:rPr>
          <w:rFonts w:hint="eastAsia" w:ascii="宋体" w:hAnsi="宋体" w:cs="仿宋_GB2312"/>
          <w:color w:val="auto"/>
          <w:szCs w:val="21"/>
          <w:highlight w:val="none"/>
        </w:rPr>
        <w:t>202</w:t>
      </w:r>
      <w:r>
        <w:rPr>
          <w:rFonts w:hint="eastAsia" w:ascii="宋体" w:hAnsi="宋体" w:cs="仿宋_GB2312"/>
          <w:color w:val="auto"/>
          <w:szCs w:val="21"/>
          <w:highlight w:val="none"/>
          <w:lang w:val="en-US" w:eastAsia="zh-CN"/>
        </w:rPr>
        <w:t>4</w:t>
      </w:r>
      <w:r>
        <w:rPr>
          <w:rFonts w:hint="eastAsia" w:ascii="宋体" w:hAnsi="宋体" w:cs="仿宋_GB2312"/>
          <w:color w:val="auto"/>
          <w:szCs w:val="21"/>
          <w:highlight w:val="none"/>
        </w:rPr>
        <w:t>年</w:t>
      </w:r>
      <w:r>
        <w:rPr>
          <w:rFonts w:hint="eastAsia" w:ascii="宋体" w:hAnsi="宋体" w:cs="仿宋_GB2312"/>
          <w:color w:val="auto"/>
          <w:szCs w:val="21"/>
          <w:highlight w:val="none"/>
          <w:lang w:val="en-US" w:eastAsia="zh-CN"/>
        </w:rPr>
        <w:t>9</w:t>
      </w:r>
      <w:r>
        <w:rPr>
          <w:rFonts w:hint="eastAsia" w:ascii="宋体" w:hAnsi="宋体" w:cs="仿宋_GB2312"/>
          <w:color w:val="auto"/>
          <w:szCs w:val="21"/>
          <w:highlight w:val="none"/>
        </w:rPr>
        <w:t>月</w:t>
      </w:r>
      <w:r>
        <w:rPr>
          <w:rFonts w:hint="eastAsia" w:ascii="宋体" w:hAnsi="宋体" w:cs="仿宋_GB2312"/>
          <w:color w:val="auto"/>
          <w:szCs w:val="21"/>
          <w:highlight w:val="none"/>
          <w:lang w:val="en-US" w:eastAsia="zh-CN"/>
        </w:rPr>
        <w:t xml:space="preserve"> 19</w:t>
      </w:r>
      <w:r>
        <w:rPr>
          <w:rFonts w:hint="eastAsia" w:ascii="宋体" w:hAnsi="宋体" w:cs="仿宋_GB2312"/>
          <w:color w:val="auto"/>
          <w:szCs w:val="21"/>
          <w:highlight w:val="none"/>
        </w:rPr>
        <w:t>日</w:t>
      </w:r>
      <w:bookmarkEnd w:id="31"/>
    </w:p>
    <w:bookmarkEnd w:id="3"/>
    <w:p w14:paraId="0EFC6812">
      <w:pPr>
        <w:spacing w:line="440" w:lineRule="exact"/>
        <w:jc w:val="center"/>
        <w:rPr>
          <w:rFonts w:ascii="宋体" w:hAnsi="宋体"/>
          <w:b/>
          <w:color w:val="auto"/>
          <w:kern w:val="0"/>
          <w:sz w:val="32"/>
          <w:szCs w:val="32"/>
          <w:highlight w:val="none"/>
        </w:rPr>
      </w:pPr>
      <w:r>
        <w:rPr>
          <w:rFonts w:hint="eastAsia" w:ascii="宋体" w:hAnsi="宋体"/>
          <w:b/>
          <w:color w:val="auto"/>
          <w:kern w:val="0"/>
          <w:sz w:val="32"/>
          <w:szCs w:val="32"/>
          <w:highlight w:val="none"/>
        </w:rPr>
        <w:br w:type="page"/>
      </w:r>
      <w:r>
        <w:rPr>
          <w:rFonts w:hint="eastAsia" w:ascii="宋体" w:hAnsi="宋体"/>
          <w:b/>
          <w:color w:val="auto"/>
          <w:kern w:val="0"/>
          <w:sz w:val="32"/>
          <w:szCs w:val="32"/>
          <w:highlight w:val="none"/>
        </w:rPr>
        <w:t>第二章 采购需求</w:t>
      </w:r>
    </w:p>
    <w:p w14:paraId="674809F0">
      <w:pPr>
        <w:widowControl/>
        <w:numPr>
          <w:ilvl w:val="0"/>
          <w:numId w:val="6"/>
        </w:numPr>
        <w:shd w:val="clear" w:color="auto" w:fill="FFFFFF"/>
        <w:spacing w:line="480" w:lineRule="auto"/>
        <w:ind w:firstLine="442" w:firstLineChars="200"/>
        <w:contextualSpacing/>
        <w:jc w:val="left"/>
        <w:rPr>
          <w:rFonts w:ascii="宋体" w:hAnsi="宋体" w:cs="黑体"/>
          <w:b/>
          <w:bCs/>
          <w:color w:val="auto"/>
          <w:sz w:val="22"/>
          <w:szCs w:val="21"/>
          <w:shd w:val="clear" w:color="auto" w:fill="FFFFFF"/>
        </w:rPr>
      </w:pPr>
      <w:r>
        <w:rPr>
          <w:rFonts w:hint="eastAsia" w:ascii="宋体" w:hAnsi="宋体" w:cs="黑体"/>
          <w:b/>
          <w:bCs/>
          <w:color w:val="auto"/>
          <w:sz w:val="22"/>
          <w:szCs w:val="21"/>
          <w:shd w:val="clear" w:color="auto" w:fill="FFFFFF"/>
          <w:lang w:val="en-US" w:eastAsia="zh-CN"/>
        </w:rPr>
        <w:t>采购需求</w:t>
      </w:r>
    </w:p>
    <w:p w14:paraId="59E0B85C">
      <w:pPr>
        <w:pStyle w:val="26"/>
        <w:widowControl/>
        <w:shd w:val="clear" w:color="auto" w:fill="FFFFFF"/>
        <w:autoSpaceDE w:val="0"/>
        <w:autoSpaceDN w:val="0"/>
        <w:spacing w:line="360" w:lineRule="auto"/>
        <w:ind w:firstLine="420"/>
        <w:contextualSpacing/>
        <w:jc w:val="left"/>
        <w:rPr>
          <w:rFonts w:hint="eastAsia" w:ascii="宋体" w:hAnsi="宋体" w:cs="仿宋_GB2312"/>
          <w:color w:val="auto"/>
          <w:sz w:val="21"/>
          <w:szCs w:val="21"/>
          <w:highlight w:val="none"/>
          <w:shd w:val="clear" w:color="auto" w:fill="FFFFFF"/>
        </w:rPr>
      </w:pPr>
      <w:r>
        <w:rPr>
          <w:rFonts w:hint="eastAsia" w:ascii="宋体" w:hAnsi="宋体" w:cs="仿宋_GB2312"/>
          <w:color w:val="auto"/>
          <w:sz w:val="21"/>
          <w:szCs w:val="21"/>
          <w:highlight w:val="none"/>
          <w:shd w:val="clear" w:color="auto" w:fill="FFFFFF"/>
          <w:lang w:val="en-US" w:eastAsia="zh-CN"/>
        </w:rPr>
        <w:t>主要针对春秋楼关圣殿数字化项目进行投影机采购</w:t>
      </w:r>
      <w:r>
        <w:rPr>
          <w:rFonts w:hint="eastAsia" w:ascii="宋体" w:hAnsi="宋体" w:cs="仿宋_GB2312"/>
          <w:color w:val="auto"/>
          <w:sz w:val="21"/>
          <w:szCs w:val="21"/>
          <w:highlight w:val="none"/>
          <w:shd w:val="clear" w:color="auto" w:fill="FFFFFF"/>
          <w:lang w:eastAsia="zh-CN"/>
        </w:rPr>
        <w:t>。</w:t>
      </w:r>
      <w:r>
        <w:rPr>
          <w:rFonts w:hint="eastAsia" w:ascii="宋体" w:hAnsi="宋体" w:cs="仿宋_GB2312"/>
          <w:color w:val="auto"/>
          <w:sz w:val="21"/>
          <w:szCs w:val="21"/>
          <w:highlight w:val="none"/>
          <w:shd w:val="clear" w:color="auto" w:fill="FFFFFF"/>
        </w:rPr>
        <w:t>（具体内容详见采购</w:t>
      </w:r>
      <w:r>
        <w:rPr>
          <w:rFonts w:hint="eastAsia" w:ascii="宋体" w:hAnsi="宋体" w:cs="仿宋_GB2312"/>
          <w:color w:val="auto"/>
          <w:sz w:val="21"/>
          <w:szCs w:val="21"/>
          <w:highlight w:val="none"/>
          <w:shd w:val="clear" w:color="auto" w:fill="FFFFFF"/>
          <w:lang w:val="en-US" w:eastAsia="zh-CN"/>
        </w:rPr>
        <w:t>清单</w:t>
      </w:r>
      <w:r>
        <w:rPr>
          <w:rFonts w:hint="eastAsia" w:ascii="宋体" w:hAnsi="宋体" w:cs="仿宋_GB2312"/>
          <w:color w:val="auto"/>
          <w:sz w:val="21"/>
          <w:szCs w:val="21"/>
          <w:highlight w:val="none"/>
          <w:shd w:val="clear" w:color="auto" w:fill="FFFFFF"/>
        </w:rPr>
        <w:t>）</w:t>
      </w:r>
    </w:p>
    <w:p w14:paraId="0E6D5EEF">
      <w:pPr>
        <w:widowControl/>
        <w:numPr>
          <w:ilvl w:val="0"/>
          <w:numId w:val="6"/>
        </w:numPr>
        <w:shd w:val="clear" w:color="auto" w:fill="FFFFFF"/>
        <w:spacing w:line="480" w:lineRule="auto"/>
        <w:ind w:firstLine="442" w:firstLineChars="200"/>
        <w:contextualSpacing/>
        <w:jc w:val="left"/>
        <w:rPr>
          <w:highlight w:val="none"/>
        </w:rPr>
      </w:pPr>
      <w:r>
        <w:rPr>
          <w:rFonts w:hint="eastAsia" w:ascii="宋体" w:hAnsi="宋体" w:cs="黑体"/>
          <w:b/>
          <w:bCs/>
          <w:color w:val="auto"/>
          <w:sz w:val="22"/>
          <w:szCs w:val="21"/>
          <w:highlight w:val="none"/>
          <w:shd w:val="clear" w:color="auto" w:fill="FFFFFF"/>
          <w:lang w:val="en-US" w:eastAsia="zh-CN"/>
        </w:rPr>
        <w:t>采购清单</w:t>
      </w:r>
    </w:p>
    <w:tbl>
      <w:tblPr>
        <w:tblStyle w:val="31"/>
        <w:tblW w:w="1055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9"/>
        <w:gridCol w:w="1573"/>
        <w:gridCol w:w="6329"/>
        <w:gridCol w:w="693"/>
        <w:gridCol w:w="617"/>
        <w:gridCol w:w="700"/>
      </w:tblGrid>
      <w:tr w14:paraId="2196B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E4A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序号</w:t>
            </w:r>
          </w:p>
        </w:tc>
        <w:tc>
          <w:tcPr>
            <w:tcW w:w="1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90EF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名称</w:t>
            </w:r>
          </w:p>
        </w:tc>
        <w:tc>
          <w:tcPr>
            <w:tcW w:w="6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AC798">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参数</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4CB3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单位</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844C">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数量</w:t>
            </w:r>
          </w:p>
        </w:tc>
        <w:tc>
          <w:tcPr>
            <w:tcW w:w="700" w:type="dxa"/>
            <w:tcBorders>
              <w:top w:val="single" w:color="000000" w:sz="4" w:space="0"/>
              <w:left w:val="single" w:color="000000" w:sz="4" w:space="0"/>
              <w:bottom w:val="single" w:color="000000" w:sz="4" w:space="0"/>
              <w:right w:val="single" w:color="auto" w:sz="4" w:space="0"/>
            </w:tcBorders>
            <w:shd w:val="clear" w:color="auto" w:fill="auto"/>
            <w:vAlign w:val="center"/>
          </w:tcPr>
          <w:p w14:paraId="465B8A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lang w:val="en-US" w:eastAsia="zh-CN"/>
              </w:rPr>
            </w:pPr>
            <w:r>
              <w:rPr>
                <w:rFonts w:hint="eastAsia" w:ascii="宋体" w:hAnsi="宋体" w:eastAsia="宋体" w:cs="宋体"/>
                <w:i w:val="0"/>
                <w:iCs w:val="0"/>
                <w:color w:val="auto"/>
                <w:sz w:val="20"/>
                <w:szCs w:val="20"/>
                <w:highlight w:val="none"/>
                <w:u w:val="none"/>
                <w:lang w:val="en-US" w:eastAsia="zh-CN"/>
              </w:rPr>
              <w:t>备注</w:t>
            </w:r>
          </w:p>
        </w:tc>
      </w:tr>
      <w:tr w14:paraId="00A11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jc w:val="center"/>
        </w:trPr>
        <w:tc>
          <w:tcPr>
            <w:tcW w:w="6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184C4">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w:t>
            </w:r>
          </w:p>
        </w:tc>
        <w:tc>
          <w:tcPr>
            <w:tcW w:w="1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EA6FA">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20000流明投</w:t>
            </w:r>
          </w:p>
          <w:p w14:paraId="0613BAD3">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影机</w:t>
            </w:r>
          </w:p>
        </w:tc>
        <w:tc>
          <w:tcPr>
            <w:tcW w:w="6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22D9E">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 xml:space="preserve">1、DLP技术，0.96" DMD，亮度≥20500 ISO流明；                                                                   </w:t>
            </w:r>
          </w:p>
          <w:p w14:paraId="0B2CD5E7">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 xml:space="preserve">2、激光投影机；                                                                          </w:t>
            </w:r>
          </w:p>
          <w:p w14:paraId="5216A7AE">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3、原始分辨率：1920×1200（2304000像素），标准16:10模式；</w:t>
            </w:r>
          </w:p>
          <w:p w14:paraId="4A2B90DB">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 xml:space="preserve">4、激光荧光体技术，使用标准寿命：≥20000小时；                                                                          </w:t>
            </w:r>
          </w:p>
          <w:p w14:paraId="046108D0">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5、全开全关对比度：≥2000000：1；</w:t>
            </w:r>
          </w:p>
          <w:p w14:paraId="199BD294">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6、动态对比度：≥5000：1；</w:t>
            </w:r>
          </w:p>
          <w:p w14:paraId="09EA4864">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7、典型噪声：≤45dB（A）；</w:t>
            </w:r>
          </w:p>
          <w:p w14:paraId="7BE7E8E2">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8、经济模式下噪声：≤39dB（A）；</w:t>
            </w:r>
          </w:p>
          <w:p w14:paraId="0ADE2E06">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 xml:space="preserve">9、散热（正常模式）：≤6660 BTU/hr；                                                                                                                          </w:t>
            </w:r>
          </w:p>
          <w:p w14:paraId="089862D7">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 xml:space="preserve">10、功率（正常模式）：≤1880W （220V）；                                               </w:t>
            </w:r>
          </w:p>
          <w:p w14:paraId="59149098">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11、智能镜头可选变焦范围：0.84-7.0：1  ；</w:t>
            </w:r>
          </w:p>
          <w:p w14:paraId="04FC03CB">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12、24/7全天候运行；</w:t>
            </w:r>
          </w:p>
          <w:p w14:paraId="532A3DCA">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13、具有自动识别并校准镜头功能；</w:t>
            </w:r>
          </w:p>
          <w:p w14:paraId="5F4FFB95">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w:t>
            </w:r>
            <w:r>
              <w:rPr>
                <w:rFonts w:hint="eastAsia" w:ascii="宋体" w:hAnsi="宋体" w:cs="仿宋_GB2312"/>
                <w:color w:val="auto"/>
                <w:kern w:val="2"/>
                <w:sz w:val="21"/>
                <w:szCs w:val="21"/>
                <w:highlight w:val="none"/>
                <w:shd w:val="clear" w:color="auto" w:fill="FFFFFF"/>
                <w:lang w:val="en-US" w:eastAsia="zh-CN" w:bidi="ar-SA"/>
              </w:rPr>
              <w:t>4</w:t>
            </w:r>
            <w:r>
              <w:rPr>
                <w:rFonts w:hint="eastAsia" w:ascii="宋体" w:hAnsi="宋体" w:eastAsia="宋体" w:cs="仿宋_GB2312"/>
                <w:color w:val="auto"/>
                <w:kern w:val="2"/>
                <w:sz w:val="21"/>
                <w:szCs w:val="21"/>
                <w:highlight w:val="none"/>
                <w:shd w:val="clear" w:color="auto" w:fill="FFFFFF"/>
                <w:lang w:val="en-US" w:eastAsia="zh-CN" w:bidi="ar-SA"/>
              </w:rPr>
              <w:t>、支持摄像头融合、几何的自动校准；</w:t>
            </w:r>
          </w:p>
          <w:p w14:paraId="1A737732">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w:t>
            </w:r>
            <w:r>
              <w:rPr>
                <w:rFonts w:hint="eastAsia" w:ascii="宋体" w:hAnsi="宋体" w:cs="仿宋_GB2312"/>
                <w:color w:val="auto"/>
                <w:kern w:val="2"/>
                <w:sz w:val="21"/>
                <w:szCs w:val="21"/>
                <w:highlight w:val="none"/>
                <w:shd w:val="clear" w:color="auto" w:fill="FFFFFF"/>
                <w:lang w:val="en-US" w:eastAsia="zh-CN" w:bidi="ar-SA"/>
              </w:rPr>
              <w:t>5</w:t>
            </w:r>
            <w:r>
              <w:rPr>
                <w:rFonts w:hint="eastAsia" w:ascii="宋体" w:hAnsi="宋体" w:eastAsia="宋体" w:cs="仿宋_GB2312"/>
                <w:color w:val="auto"/>
                <w:kern w:val="2"/>
                <w:sz w:val="21"/>
                <w:szCs w:val="21"/>
                <w:highlight w:val="none"/>
                <w:shd w:val="clear" w:color="auto" w:fill="FFFFFF"/>
                <w:lang w:val="en-US" w:eastAsia="zh-CN" w:bidi="ar-SA"/>
              </w:rPr>
              <w:t>、红、绿、蓝、白色单色背景下融合区颜色都过渡一致平滑；</w:t>
            </w:r>
          </w:p>
          <w:p w14:paraId="5AB07A80">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w:t>
            </w:r>
            <w:r>
              <w:rPr>
                <w:rFonts w:hint="eastAsia" w:ascii="宋体" w:hAnsi="宋体" w:cs="仿宋_GB2312"/>
                <w:color w:val="auto"/>
                <w:kern w:val="2"/>
                <w:sz w:val="21"/>
                <w:szCs w:val="21"/>
                <w:highlight w:val="none"/>
                <w:shd w:val="clear" w:color="auto" w:fill="FFFFFF"/>
                <w:lang w:val="en-US" w:eastAsia="zh-CN" w:bidi="ar-SA"/>
              </w:rPr>
              <w:t>6</w:t>
            </w:r>
            <w:r>
              <w:rPr>
                <w:rFonts w:hint="eastAsia" w:ascii="宋体" w:hAnsi="宋体" w:eastAsia="宋体" w:cs="仿宋_GB2312"/>
                <w:color w:val="auto"/>
                <w:kern w:val="2"/>
                <w:sz w:val="21"/>
                <w:szCs w:val="21"/>
                <w:highlight w:val="none"/>
                <w:shd w:val="clear" w:color="auto" w:fill="FFFFFF"/>
                <w:lang w:val="en-US" w:eastAsia="zh-CN" w:bidi="ar-SA"/>
              </w:rPr>
              <w:t>、支持内置网页管理界面；</w:t>
            </w:r>
          </w:p>
          <w:p w14:paraId="3F586953">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w:t>
            </w:r>
            <w:r>
              <w:rPr>
                <w:rFonts w:hint="eastAsia" w:ascii="宋体" w:hAnsi="宋体" w:cs="仿宋_GB2312"/>
                <w:color w:val="auto"/>
                <w:kern w:val="2"/>
                <w:sz w:val="21"/>
                <w:szCs w:val="21"/>
                <w:highlight w:val="none"/>
                <w:shd w:val="clear" w:color="auto" w:fill="FFFFFF"/>
                <w:lang w:val="en-US" w:eastAsia="zh-CN" w:bidi="ar-SA"/>
              </w:rPr>
              <w:t>7</w:t>
            </w:r>
            <w:r>
              <w:rPr>
                <w:rFonts w:hint="eastAsia" w:ascii="宋体" w:hAnsi="宋体" w:eastAsia="宋体" w:cs="仿宋_GB2312"/>
                <w:color w:val="auto"/>
                <w:kern w:val="2"/>
                <w:sz w:val="21"/>
                <w:szCs w:val="21"/>
                <w:highlight w:val="none"/>
                <w:shd w:val="clear" w:color="auto" w:fill="FFFFFF"/>
                <w:lang w:val="en-US" w:eastAsia="zh-CN" w:bidi="ar-SA"/>
              </w:rPr>
              <w:t>、2路HDMI输入和HDBaseT输入，且支持主动立体到120Hz；</w:t>
            </w:r>
          </w:p>
          <w:p w14:paraId="3DCD736A">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eastAsia="宋体" w:cs="仿宋_GB2312"/>
                <w:color w:val="auto"/>
                <w:kern w:val="2"/>
                <w:sz w:val="21"/>
                <w:szCs w:val="21"/>
                <w:highlight w:val="none"/>
                <w:shd w:val="clear" w:color="auto" w:fill="FFFFFF"/>
                <w:lang w:val="en-US" w:eastAsia="zh-CN" w:bidi="ar-SA"/>
              </w:rPr>
              <w:t>1</w:t>
            </w:r>
            <w:r>
              <w:rPr>
                <w:rFonts w:hint="eastAsia" w:ascii="宋体" w:hAnsi="宋体" w:cs="仿宋_GB2312"/>
                <w:color w:val="auto"/>
                <w:kern w:val="2"/>
                <w:sz w:val="21"/>
                <w:szCs w:val="21"/>
                <w:highlight w:val="none"/>
                <w:shd w:val="clear" w:color="auto" w:fill="FFFFFF"/>
                <w:lang w:val="en-US" w:eastAsia="zh-CN" w:bidi="ar-SA"/>
              </w:rPr>
              <w:t>8</w:t>
            </w:r>
            <w:r>
              <w:rPr>
                <w:rFonts w:hint="eastAsia" w:ascii="宋体" w:hAnsi="宋体" w:eastAsia="宋体" w:cs="仿宋_GB2312"/>
                <w:color w:val="auto"/>
                <w:kern w:val="2"/>
                <w:sz w:val="21"/>
                <w:szCs w:val="21"/>
                <w:highlight w:val="none"/>
                <w:shd w:val="clear" w:color="auto" w:fill="FFFFFF"/>
                <w:lang w:val="en-US" w:eastAsia="zh-CN" w:bidi="ar-SA"/>
              </w:rPr>
              <w:t>、3D功能：HDMI 1.4，HDBaseT - 帧封装、上下及并排最大输出120Hz，用于同步锁相投影机的3D同步输入（BNC），用于同步锁相投影机、控制发射器或偏光器的3D同步输出（BNC）；</w:t>
            </w:r>
          </w:p>
          <w:p w14:paraId="0DD17052">
            <w:pPr>
              <w:pStyle w:val="84"/>
              <w:ind w:left="0" w:leftChars="0" w:firstLine="0" w:firstLineChars="0"/>
              <w:rPr>
                <w:rFonts w:hint="eastAsia" w:ascii="宋体" w:hAnsi="宋体" w:eastAsia="宋体" w:cs="仿宋_GB2312"/>
                <w:color w:val="auto"/>
                <w:kern w:val="2"/>
                <w:sz w:val="21"/>
                <w:szCs w:val="21"/>
                <w:highlight w:val="none"/>
                <w:shd w:val="clear" w:color="auto" w:fill="FFFFFF"/>
                <w:lang w:val="en-US" w:eastAsia="zh-CN" w:bidi="ar-SA"/>
              </w:rPr>
            </w:pPr>
            <w:r>
              <w:rPr>
                <w:rFonts w:hint="eastAsia" w:ascii="宋体" w:hAnsi="宋体" w:cs="仿宋_GB2312"/>
                <w:color w:val="auto"/>
                <w:kern w:val="2"/>
                <w:sz w:val="21"/>
                <w:szCs w:val="21"/>
                <w:highlight w:val="none"/>
                <w:shd w:val="clear" w:color="auto" w:fill="FFFFFF"/>
                <w:lang w:val="en-US" w:eastAsia="zh-CN" w:bidi="ar-SA"/>
              </w:rPr>
              <w:t>19</w:t>
            </w:r>
            <w:r>
              <w:rPr>
                <w:rFonts w:hint="eastAsia" w:ascii="宋体" w:hAnsi="宋体" w:eastAsia="宋体" w:cs="仿宋_GB2312"/>
                <w:color w:val="auto"/>
                <w:kern w:val="2"/>
                <w:sz w:val="21"/>
                <w:szCs w:val="21"/>
                <w:highlight w:val="none"/>
                <w:shd w:val="clear" w:color="auto" w:fill="FFFFFF"/>
                <w:lang w:val="en-US" w:eastAsia="zh-CN" w:bidi="ar-SA"/>
              </w:rPr>
              <w:t xml:space="preserve">、尺寸：≤680×600×205mm； </w:t>
            </w:r>
          </w:p>
          <w:p w14:paraId="6C548D2C">
            <w:pPr>
              <w:pStyle w:val="84"/>
              <w:ind w:left="0" w:leftChars="0" w:firstLine="0" w:firstLineChars="0"/>
              <w:rPr>
                <w:rFonts w:hint="eastAsia" w:ascii="宋体" w:hAnsi="宋体" w:eastAsia="宋体" w:cs="宋体"/>
                <w:i w:val="0"/>
                <w:iCs w:val="0"/>
                <w:color w:val="auto"/>
                <w:sz w:val="20"/>
                <w:szCs w:val="20"/>
                <w:highlight w:val="none"/>
                <w:u w:val="none"/>
              </w:rPr>
            </w:pPr>
            <w:r>
              <w:rPr>
                <w:rFonts w:hint="eastAsia" w:ascii="宋体" w:hAnsi="宋体" w:cs="仿宋_GB2312"/>
                <w:color w:val="auto"/>
                <w:kern w:val="2"/>
                <w:sz w:val="21"/>
                <w:szCs w:val="21"/>
                <w:highlight w:val="none"/>
                <w:shd w:val="clear" w:color="auto" w:fill="FFFFFF"/>
                <w:lang w:val="en-US" w:eastAsia="zh-CN" w:bidi="ar-SA"/>
              </w:rPr>
              <w:t>20</w:t>
            </w:r>
            <w:r>
              <w:rPr>
                <w:rFonts w:hint="eastAsia" w:ascii="宋体" w:hAnsi="宋体" w:eastAsia="宋体" w:cs="仿宋_GB2312"/>
                <w:color w:val="auto"/>
                <w:kern w:val="2"/>
                <w:sz w:val="21"/>
                <w:szCs w:val="21"/>
                <w:highlight w:val="none"/>
                <w:shd w:val="clear" w:color="auto" w:fill="FFFFFF"/>
                <w:lang w:val="en-US" w:eastAsia="zh-CN" w:bidi="ar-SA"/>
              </w:rPr>
              <w:t xml:space="preserve">、安装方式：360°全向操作，可将投影机定位到任一轴上。 </w:t>
            </w:r>
          </w:p>
        </w:tc>
        <w:tc>
          <w:tcPr>
            <w:tcW w:w="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8BF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台</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A15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cs="宋体"/>
                <w:i w:val="0"/>
                <w:iCs w:val="0"/>
                <w:color w:val="auto"/>
                <w:kern w:val="0"/>
                <w:sz w:val="20"/>
                <w:szCs w:val="20"/>
                <w:highlight w:val="none"/>
                <w:u w:val="none"/>
                <w:lang w:val="en-US" w:eastAsia="zh-CN" w:bidi="ar"/>
              </w:rPr>
              <w:t>3</w:t>
            </w:r>
          </w:p>
        </w:tc>
        <w:tc>
          <w:tcPr>
            <w:tcW w:w="700" w:type="dxa"/>
            <w:tcBorders>
              <w:top w:val="single" w:color="000000" w:sz="4" w:space="0"/>
              <w:left w:val="single" w:color="000000" w:sz="4" w:space="0"/>
              <w:bottom w:val="single" w:color="000000" w:sz="4" w:space="0"/>
              <w:right w:val="single" w:color="auto" w:sz="4" w:space="0"/>
            </w:tcBorders>
            <w:shd w:val="clear" w:color="auto" w:fill="auto"/>
            <w:vAlign w:val="center"/>
          </w:tcPr>
          <w:p w14:paraId="2EEDCEC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lang w:val="en-US" w:eastAsia="zh-CN"/>
              </w:rPr>
            </w:pPr>
            <w:r>
              <w:rPr>
                <w:rFonts w:hint="eastAsia" w:ascii="宋体" w:hAnsi="宋体" w:eastAsia="宋体" w:cs="宋体"/>
                <w:i w:val="0"/>
                <w:iCs w:val="0"/>
                <w:color w:val="auto"/>
                <w:sz w:val="20"/>
                <w:szCs w:val="20"/>
                <w:highlight w:val="none"/>
                <w:u w:val="none"/>
                <w:lang w:val="en-US" w:eastAsia="zh-CN"/>
              </w:rPr>
              <w:t>/</w:t>
            </w:r>
          </w:p>
        </w:tc>
      </w:tr>
    </w:tbl>
    <w:p w14:paraId="7F138435">
      <w:pPr>
        <w:spacing w:line="360" w:lineRule="auto"/>
        <w:ind w:firstLine="482" w:firstLineChars="200"/>
        <w:contextualSpacing/>
        <w:rPr>
          <w:rFonts w:hint="eastAsia" w:ascii="宋体" w:hAnsi="宋体" w:cs="微软雅黑"/>
          <w:b/>
          <w:color w:val="auto"/>
          <w:sz w:val="24"/>
          <w:szCs w:val="24"/>
          <w:highlight w:val="none"/>
        </w:rPr>
      </w:pPr>
      <w:r>
        <w:rPr>
          <w:rFonts w:hint="eastAsia" w:ascii="宋体" w:hAnsi="宋体" w:cs="微软雅黑"/>
          <w:b/>
          <w:color w:val="auto"/>
          <w:sz w:val="24"/>
          <w:szCs w:val="24"/>
          <w:highlight w:val="none"/>
          <w:lang w:val="en-US" w:eastAsia="zh-CN"/>
        </w:rPr>
        <w:t>注：</w:t>
      </w:r>
      <w:r>
        <w:rPr>
          <w:rFonts w:hint="eastAsia" w:ascii="宋体" w:hAnsi="宋体" w:cs="微软雅黑"/>
          <w:b/>
          <w:color w:val="auto"/>
          <w:sz w:val="24"/>
          <w:szCs w:val="24"/>
          <w:highlight w:val="none"/>
        </w:rPr>
        <w:t>本采购清单中所列技术规格或主要参数为最低要求，不允许负偏离，否则将承担其投标被视为非实质性响应投标的风险。</w:t>
      </w:r>
    </w:p>
    <w:p w14:paraId="4E9B5FAD">
      <w:pPr>
        <w:tabs>
          <w:tab w:val="left" w:pos="7567"/>
        </w:tabs>
        <w:spacing w:line="360" w:lineRule="auto"/>
        <w:ind w:left="420" w:leftChars="200"/>
        <w:jc w:val="left"/>
        <w:rPr>
          <w:rFonts w:ascii="宋体" w:hAnsi="宋体" w:cs="仿宋_GB2312"/>
          <w:b/>
          <w:bCs/>
          <w:color w:val="auto"/>
          <w:szCs w:val="21"/>
          <w:highlight w:val="none"/>
          <w:shd w:val="clear" w:color="auto" w:fill="FFFFFF"/>
          <w:lang w:val="zh-CN"/>
        </w:rPr>
      </w:pPr>
      <w:r>
        <w:rPr>
          <w:rFonts w:hint="eastAsia" w:ascii="宋体" w:hAnsi="宋体" w:cs="微软雅黑"/>
          <w:b/>
          <w:color w:val="auto"/>
          <w:szCs w:val="21"/>
          <w:highlight w:val="none"/>
          <w:lang w:val="en-US" w:eastAsia="zh-CN"/>
        </w:rPr>
        <w:t>三、</w:t>
      </w:r>
      <w:r>
        <w:rPr>
          <w:rFonts w:hint="eastAsia" w:ascii="宋体" w:hAnsi="宋体" w:cs="微软雅黑"/>
          <w:b/>
          <w:color w:val="auto"/>
          <w:szCs w:val="21"/>
          <w:highlight w:val="none"/>
        </w:rPr>
        <w:t>★</w:t>
      </w:r>
      <w:r>
        <w:rPr>
          <w:rFonts w:hint="eastAsia" w:ascii="宋体" w:hAnsi="宋体" w:cs="仿宋_GB2312"/>
          <w:b/>
          <w:bCs/>
          <w:color w:val="auto"/>
          <w:szCs w:val="21"/>
          <w:highlight w:val="none"/>
          <w:shd w:val="clear" w:color="auto" w:fill="FFFFFF"/>
          <w:lang w:val="zh-CN"/>
        </w:rPr>
        <w:t xml:space="preserve">商务要求 </w:t>
      </w:r>
    </w:p>
    <w:p w14:paraId="4571F3AF">
      <w:pPr>
        <w:tabs>
          <w:tab w:val="left" w:pos="7567"/>
        </w:tabs>
        <w:spacing w:line="360" w:lineRule="auto"/>
        <w:ind w:left="420" w:leftChars="200"/>
        <w:jc w:val="left"/>
        <w:rPr>
          <w:rFonts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rPr>
        <w:t>1、</w:t>
      </w:r>
      <w:r>
        <w:rPr>
          <w:rFonts w:hint="eastAsia" w:ascii="宋体" w:hAnsi="宋体" w:cs="仿宋_GB2312"/>
          <w:color w:val="auto"/>
          <w:szCs w:val="21"/>
          <w:highlight w:val="none"/>
          <w:shd w:val="clear" w:color="auto" w:fill="FFFFFF"/>
          <w:lang w:val="zh-CN"/>
        </w:rPr>
        <w:t>交付（服务、完工）时间：</w:t>
      </w:r>
      <w:r>
        <w:rPr>
          <w:rFonts w:hint="eastAsia" w:ascii="宋体" w:hAnsi="宋体" w:cs="仿宋_GB2312"/>
          <w:color w:val="auto"/>
          <w:szCs w:val="21"/>
          <w:highlight w:val="none"/>
          <w:shd w:val="clear" w:color="auto" w:fill="FFFFFF"/>
          <w:lang w:val="en-US" w:eastAsia="zh-CN"/>
        </w:rPr>
        <w:t xml:space="preserve"> 自合同生效之日起3日历天内</w:t>
      </w:r>
      <w:r>
        <w:rPr>
          <w:rFonts w:hint="eastAsia" w:ascii="宋体" w:hAnsi="宋体" w:cs="仿宋_GB2312"/>
          <w:color w:val="auto"/>
          <w:szCs w:val="21"/>
          <w:highlight w:val="none"/>
          <w:shd w:val="clear" w:color="auto" w:fill="FFFFFF"/>
          <w:lang w:val="zh-CN"/>
        </w:rPr>
        <w:t>。</w:t>
      </w:r>
    </w:p>
    <w:p w14:paraId="65DCAB0A">
      <w:pPr>
        <w:tabs>
          <w:tab w:val="left" w:pos="7567"/>
        </w:tabs>
        <w:spacing w:line="360" w:lineRule="auto"/>
        <w:ind w:left="420" w:leftChars="200"/>
        <w:jc w:val="left"/>
        <w:rPr>
          <w:rFonts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rPr>
        <w:t>2、</w:t>
      </w:r>
      <w:r>
        <w:rPr>
          <w:rFonts w:hint="eastAsia" w:ascii="宋体" w:hAnsi="宋体" w:cs="仿宋_GB2312"/>
          <w:color w:val="auto"/>
          <w:szCs w:val="21"/>
          <w:highlight w:val="none"/>
          <w:shd w:val="clear" w:color="auto" w:fill="FFFFFF"/>
          <w:lang w:val="zh-CN"/>
        </w:rPr>
        <w:t>交付（服务、完工）地点：以招标人要求为准。</w:t>
      </w:r>
    </w:p>
    <w:p w14:paraId="741F9C89">
      <w:pPr>
        <w:tabs>
          <w:tab w:val="left" w:pos="7567"/>
        </w:tabs>
        <w:spacing w:line="360" w:lineRule="auto"/>
        <w:ind w:left="420" w:leftChars="200"/>
        <w:jc w:val="left"/>
        <w:rPr>
          <w:rFonts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 xml:space="preserve">3、付款条件： </w:t>
      </w:r>
    </w:p>
    <w:p w14:paraId="517A827E">
      <w:pPr>
        <w:tabs>
          <w:tab w:val="left" w:pos="7567"/>
        </w:tabs>
        <w:spacing w:line="360" w:lineRule="auto"/>
        <w:ind w:firstLine="420" w:firstLineChars="200"/>
        <w:jc w:val="left"/>
        <w:rPr>
          <w:rFonts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w:t>
      </w:r>
      <w:r>
        <w:rPr>
          <w:rFonts w:hint="eastAsia" w:ascii="宋体" w:hAnsi="宋体" w:cs="仿宋_GB2312"/>
          <w:color w:val="auto"/>
          <w:szCs w:val="21"/>
          <w:highlight w:val="none"/>
          <w:shd w:val="clear" w:color="auto" w:fill="FFFFFF"/>
        </w:rPr>
        <w:t>1</w:t>
      </w:r>
      <w:r>
        <w:rPr>
          <w:rFonts w:hint="eastAsia" w:ascii="宋体" w:hAnsi="宋体" w:cs="仿宋_GB2312"/>
          <w:color w:val="auto"/>
          <w:szCs w:val="21"/>
          <w:highlight w:val="none"/>
          <w:shd w:val="clear" w:color="auto" w:fill="FFFFFF"/>
          <w:lang w:val="zh-CN"/>
        </w:rPr>
        <w:t>）支付方式：银行转账。</w:t>
      </w:r>
    </w:p>
    <w:p w14:paraId="5FF7C30F">
      <w:pPr>
        <w:tabs>
          <w:tab w:val="left" w:pos="7567"/>
        </w:tabs>
        <w:spacing w:line="360" w:lineRule="auto"/>
        <w:ind w:left="420" w:leftChars="200"/>
        <w:jc w:val="left"/>
        <w:rPr>
          <w:rFonts w:hint="eastAsia"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w:t>
      </w:r>
      <w:r>
        <w:rPr>
          <w:rFonts w:hint="eastAsia" w:ascii="宋体" w:hAnsi="宋体" w:cs="仿宋_GB2312"/>
          <w:color w:val="auto"/>
          <w:szCs w:val="21"/>
          <w:highlight w:val="none"/>
          <w:shd w:val="clear" w:color="auto" w:fill="FFFFFF"/>
        </w:rPr>
        <w:t>2</w:t>
      </w:r>
      <w:r>
        <w:rPr>
          <w:rFonts w:hint="eastAsia" w:ascii="宋体" w:hAnsi="宋体" w:cs="仿宋_GB2312"/>
          <w:color w:val="auto"/>
          <w:szCs w:val="21"/>
          <w:highlight w:val="none"/>
          <w:shd w:val="clear" w:color="auto" w:fill="FFFFFF"/>
          <w:lang w:val="zh-CN"/>
        </w:rPr>
        <w:t>）支付时间及条件：以合同签订为准。</w:t>
      </w:r>
    </w:p>
    <w:p w14:paraId="17DF9927">
      <w:pPr>
        <w:tabs>
          <w:tab w:val="left" w:pos="7567"/>
        </w:tabs>
        <w:spacing w:line="360" w:lineRule="auto"/>
        <w:ind w:left="420" w:leftChars="200"/>
        <w:jc w:val="left"/>
        <w:rPr>
          <w:rFonts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 xml:space="preserve">4.质量标准：合格（符合国家现行规范、规程、规定、标准的要求）。 </w:t>
      </w:r>
    </w:p>
    <w:p w14:paraId="31A42CFE">
      <w:pPr>
        <w:widowControl/>
        <w:numPr>
          <w:ilvl w:val="0"/>
          <w:numId w:val="0"/>
        </w:numPr>
        <w:shd w:val="clear" w:color="auto" w:fill="FFFFFF"/>
        <w:spacing w:line="480" w:lineRule="auto"/>
        <w:ind w:firstLine="442" w:firstLineChars="200"/>
        <w:contextualSpacing/>
        <w:jc w:val="left"/>
        <w:rPr>
          <w:rFonts w:ascii="宋体" w:hAnsi="宋体" w:cs="黑体"/>
          <w:b/>
          <w:bCs/>
          <w:color w:val="auto"/>
          <w:sz w:val="22"/>
          <w:szCs w:val="21"/>
          <w:highlight w:val="none"/>
          <w:shd w:val="clear" w:color="auto" w:fill="FFFFFF"/>
          <w:lang w:val="zh-CN"/>
        </w:rPr>
      </w:pPr>
      <w:r>
        <w:rPr>
          <w:rFonts w:hint="eastAsia" w:ascii="宋体" w:hAnsi="宋体" w:cs="黑体"/>
          <w:b/>
          <w:bCs/>
          <w:color w:val="auto"/>
          <w:sz w:val="22"/>
          <w:szCs w:val="21"/>
          <w:highlight w:val="none"/>
          <w:shd w:val="clear" w:color="auto" w:fill="FFFFFF"/>
          <w:lang w:val="en-US" w:eastAsia="zh-CN"/>
        </w:rPr>
        <w:t>四、</w:t>
      </w:r>
      <w:r>
        <w:rPr>
          <w:rFonts w:hint="eastAsia" w:ascii="宋体" w:hAnsi="宋体" w:cs="黑体"/>
          <w:b/>
          <w:bCs/>
          <w:color w:val="auto"/>
          <w:sz w:val="22"/>
          <w:szCs w:val="21"/>
          <w:highlight w:val="none"/>
          <w:shd w:val="clear" w:color="auto" w:fill="FFFFFF"/>
          <w:lang w:val="zh-CN"/>
        </w:rPr>
        <w:t xml:space="preserve">验收标准 </w:t>
      </w:r>
    </w:p>
    <w:p w14:paraId="3721BA35">
      <w:pPr>
        <w:tabs>
          <w:tab w:val="left" w:pos="7567"/>
        </w:tabs>
        <w:spacing w:line="360" w:lineRule="auto"/>
        <w:ind w:left="420" w:leftChars="200"/>
        <w:jc w:val="left"/>
        <w:rPr>
          <w:rFonts w:hint="eastAsia"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 xml:space="preserve">1、由采购人成立验收小组，按照采购合同的约定对中标人履约情况进行验收。   </w:t>
      </w:r>
    </w:p>
    <w:p w14:paraId="45DEE3EB">
      <w:pPr>
        <w:tabs>
          <w:tab w:val="left" w:pos="7567"/>
        </w:tabs>
        <w:spacing w:line="360" w:lineRule="auto"/>
        <w:ind w:left="420" w:leftChars="200"/>
        <w:jc w:val="left"/>
        <w:rPr>
          <w:rFonts w:hint="eastAsia"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2、验收时，按照采购合同的约定对每一项技术、服务、安全标准的履约情况进行确认。</w:t>
      </w:r>
    </w:p>
    <w:p w14:paraId="0E41B281">
      <w:pPr>
        <w:tabs>
          <w:tab w:val="left" w:pos="7567"/>
        </w:tabs>
        <w:spacing w:line="360" w:lineRule="auto"/>
        <w:ind w:left="420" w:leftChars="200"/>
        <w:jc w:val="left"/>
        <w:rPr>
          <w:rFonts w:hint="eastAsia"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3、投标人应按照招标文件要求、投标文件响应进行验收。</w:t>
      </w:r>
    </w:p>
    <w:p w14:paraId="5C5BAAB1">
      <w:pPr>
        <w:tabs>
          <w:tab w:val="left" w:pos="7567"/>
        </w:tabs>
        <w:spacing w:line="360" w:lineRule="auto"/>
        <w:ind w:left="420" w:leftChars="200"/>
        <w:jc w:val="left"/>
        <w:rPr>
          <w:rFonts w:hint="eastAsia"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4、验收结束后，出具验收书，列明各项标准的验收情况及项目总体评价，由验收双方共同签署。</w:t>
      </w:r>
    </w:p>
    <w:p w14:paraId="59CEB00D">
      <w:pPr>
        <w:tabs>
          <w:tab w:val="left" w:pos="7567"/>
        </w:tabs>
        <w:spacing w:line="360" w:lineRule="auto"/>
        <w:ind w:left="420" w:leftChars="200"/>
        <w:jc w:val="left"/>
        <w:rPr>
          <w:rFonts w:ascii="宋体" w:hAnsi="宋体" w:cs="仿宋_GB2312"/>
          <w:color w:val="auto"/>
          <w:szCs w:val="21"/>
          <w:highlight w:val="none"/>
          <w:shd w:val="clear" w:color="auto" w:fill="FFFFFF"/>
          <w:lang w:val="zh-CN"/>
        </w:rPr>
      </w:pPr>
      <w:r>
        <w:rPr>
          <w:rFonts w:hint="eastAsia" w:ascii="宋体" w:hAnsi="宋体" w:cs="仿宋_GB2312"/>
          <w:color w:val="auto"/>
          <w:szCs w:val="21"/>
          <w:highlight w:val="none"/>
          <w:shd w:val="clear" w:color="auto" w:fill="FFFFFF"/>
          <w:lang w:val="zh-CN"/>
        </w:rPr>
        <w:t xml:space="preserve">5、投标人完成的项目应达到的质量标准应符合国家和履约地相关安全质量标准；行业技术规范标准；环保节能标准；强制认证相关标准。 </w:t>
      </w:r>
    </w:p>
    <w:p w14:paraId="4E69E8E7">
      <w:pPr>
        <w:widowControl/>
        <w:shd w:val="clear" w:color="auto" w:fill="FFFFFF"/>
        <w:spacing w:line="480" w:lineRule="auto"/>
        <w:ind w:firstLine="422" w:firstLineChars="200"/>
        <w:contextualSpacing/>
        <w:jc w:val="left"/>
        <w:rPr>
          <w:rFonts w:ascii="宋体" w:hAnsi="宋体" w:cs="黑体"/>
          <w:b/>
          <w:bCs/>
          <w:color w:val="auto"/>
          <w:sz w:val="22"/>
          <w:szCs w:val="21"/>
          <w:highlight w:val="none"/>
          <w:shd w:val="clear" w:color="auto" w:fill="FFFFFF"/>
          <w:lang w:val="zh-CN"/>
        </w:rPr>
      </w:pPr>
      <w:r>
        <w:rPr>
          <w:rFonts w:hint="eastAsia" w:ascii="宋体" w:hAnsi="宋体" w:cs="微软雅黑"/>
          <w:b/>
          <w:color w:val="auto"/>
          <w:szCs w:val="21"/>
          <w:highlight w:val="none"/>
        </w:rPr>
        <w:t>★</w:t>
      </w:r>
      <w:r>
        <w:rPr>
          <w:rFonts w:hint="eastAsia" w:ascii="宋体" w:hAnsi="宋体" w:cs="微软雅黑"/>
          <w:b/>
          <w:color w:val="auto"/>
          <w:szCs w:val="21"/>
          <w:highlight w:val="none"/>
          <w:lang w:val="en-US" w:eastAsia="zh-CN"/>
        </w:rPr>
        <w:t>五</w:t>
      </w:r>
      <w:r>
        <w:rPr>
          <w:rFonts w:hint="eastAsia" w:ascii="宋体" w:hAnsi="宋体" w:cs="黑体"/>
          <w:b/>
          <w:bCs/>
          <w:color w:val="auto"/>
          <w:sz w:val="22"/>
          <w:szCs w:val="21"/>
          <w:highlight w:val="none"/>
          <w:shd w:val="clear" w:color="auto" w:fill="FFFFFF"/>
        </w:rPr>
        <w:t>、</w:t>
      </w:r>
      <w:r>
        <w:rPr>
          <w:rFonts w:hint="eastAsia" w:ascii="宋体" w:hAnsi="宋体" w:cs="黑体"/>
          <w:b/>
          <w:bCs/>
          <w:color w:val="auto"/>
          <w:sz w:val="22"/>
          <w:szCs w:val="21"/>
          <w:highlight w:val="none"/>
          <w:shd w:val="clear" w:color="auto" w:fill="FFFFFF"/>
          <w:lang w:val="zh-CN"/>
        </w:rPr>
        <w:t xml:space="preserve">服务标准、期限、效率等要求 </w:t>
      </w:r>
    </w:p>
    <w:p w14:paraId="144CBDF6">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auto"/>
          <w:highlight w:val="none"/>
        </w:rPr>
        <w:t>1、</w:t>
      </w:r>
      <w:r>
        <w:rPr>
          <w:rFonts w:hint="eastAsia" w:ascii="宋体" w:hAnsi="宋体" w:cs="宋体"/>
          <w:color w:val="auto"/>
          <w:highlight w:val="none"/>
          <w:lang w:val="zh-CN"/>
        </w:rPr>
        <w:t>本项目为交钥匙工程，</w:t>
      </w:r>
      <w:r>
        <w:rPr>
          <w:rFonts w:hint="eastAsia" w:ascii="宋体" w:hAnsi="宋体" w:cs="宋体"/>
          <w:color w:val="auto"/>
          <w:highlight w:val="none"/>
        </w:rPr>
        <w:t>归采购人所有。</w:t>
      </w:r>
      <w:r>
        <w:rPr>
          <w:rFonts w:hint="eastAsia" w:ascii="宋体" w:hAnsi="宋体" w:cs="宋体"/>
          <w:color w:val="auto"/>
          <w:highlight w:val="none"/>
          <w:lang w:val="zh-CN"/>
        </w:rPr>
        <w:t>（</w:t>
      </w:r>
      <w:r>
        <w:rPr>
          <w:rFonts w:hint="eastAsia" w:ascii="宋体" w:hAnsi="宋体" w:eastAsia="宋体"/>
          <w:color w:val="000000"/>
          <w:sz w:val="21"/>
          <w:szCs w:val="21"/>
          <w:highlight w:val="none"/>
        </w:rPr>
        <w:t>包含货物采购、包装、运输、装卸、备品备件、专用工具、特殊工具、保险、安装调试、检测验收、现场协调、人员施工、质保、税金等一切费用</w:t>
      </w:r>
      <w:r>
        <w:rPr>
          <w:rFonts w:hint="eastAsia" w:ascii="宋体" w:hAnsi="宋体" w:cs="宋体"/>
          <w:color w:val="auto"/>
          <w:highlight w:val="none"/>
          <w:lang w:val="zh-CN"/>
        </w:rPr>
        <w:t>）。</w:t>
      </w:r>
    </w:p>
    <w:p w14:paraId="0FB24ED3">
      <w:pPr>
        <w:pStyle w:val="18"/>
        <w:spacing w:line="360" w:lineRule="auto"/>
        <w:ind w:left="0" w:leftChars="0" w:firstLine="420" w:firstLineChars="200"/>
        <w:rPr>
          <w:rFonts w:ascii="宋体" w:hAnsi="宋体" w:cs="宋体"/>
          <w:highlight w:val="none"/>
          <w:lang w:val="zh-CN"/>
        </w:rPr>
      </w:pPr>
      <w:r>
        <w:rPr>
          <w:rFonts w:hint="eastAsia" w:ascii="宋体" w:hAnsi="宋体" w:cs="宋体"/>
          <w:highlight w:val="none"/>
        </w:rPr>
        <w:t>2、</w:t>
      </w:r>
      <w:r>
        <w:rPr>
          <w:rFonts w:hint="eastAsia" w:ascii="宋体" w:hAnsi="宋体" w:cs="宋体"/>
          <w:highlight w:val="none"/>
          <w:lang w:val="zh-CN"/>
        </w:rPr>
        <w:t>投标人须明确产品的厂家、品牌、型号、参数，否则为</w:t>
      </w:r>
      <w:r>
        <w:rPr>
          <w:rFonts w:hint="eastAsia" w:ascii="宋体" w:hAnsi="宋体" w:cs="宋体"/>
          <w:b/>
          <w:bCs/>
          <w:highlight w:val="none"/>
          <w:lang w:val="zh-CN"/>
        </w:rPr>
        <w:t>无效投标</w:t>
      </w:r>
      <w:r>
        <w:rPr>
          <w:rFonts w:hint="eastAsia" w:ascii="宋体" w:hAnsi="宋体" w:cs="宋体"/>
          <w:highlight w:val="none"/>
          <w:lang w:val="zh-CN"/>
        </w:rPr>
        <w:t>。</w:t>
      </w:r>
    </w:p>
    <w:p w14:paraId="2CA3939C">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000000" w:themeColor="text1"/>
          <w:highlight w:val="none"/>
          <w:lang w:val="zh-CN"/>
          <w14:textFill>
            <w14:solidFill>
              <w14:schemeClr w14:val="tx1"/>
            </w14:solidFill>
          </w14:textFill>
        </w:rPr>
        <w:t>3、投标人应就该项目每包进行完整投标，否则为</w:t>
      </w:r>
      <w:r>
        <w:rPr>
          <w:rFonts w:hint="eastAsia" w:ascii="宋体" w:hAnsi="宋体" w:cs="宋体"/>
          <w:b/>
          <w:bCs/>
          <w:color w:val="000000" w:themeColor="text1"/>
          <w:highlight w:val="none"/>
          <w:lang w:val="zh-CN"/>
          <w14:textFill>
            <w14:solidFill>
              <w14:schemeClr w14:val="tx1"/>
            </w14:solidFill>
          </w14:textFill>
        </w:rPr>
        <w:t>无效投标</w:t>
      </w:r>
      <w:r>
        <w:rPr>
          <w:rFonts w:hint="eastAsia" w:ascii="宋体" w:hAnsi="宋体" w:cs="宋体"/>
          <w:color w:val="000000" w:themeColor="text1"/>
          <w:highlight w:val="none"/>
          <w:lang w:val="zh-CN"/>
          <w14:textFill>
            <w14:solidFill>
              <w14:schemeClr w14:val="tx1"/>
            </w14:solidFill>
          </w14:textFill>
        </w:rPr>
        <w:t>。</w:t>
      </w:r>
    </w:p>
    <w:p w14:paraId="2AD88039">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zh-CN"/>
          <w14:textFill>
            <w14:solidFill>
              <w14:schemeClr w14:val="tx1"/>
            </w14:solidFill>
          </w14:textFill>
        </w:rPr>
        <w:t>、保修及服务</w:t>
      </w:r>
    </w:p>
    <w:p w14:paraId="76ED6DD2">
      <w:pPr>
        <w:pStyle w:val="18"/>
        <w:spacing w:line="360" w:lineRule="auto"/>
        <w:ind w:left="0" w:leftChars="0" w:firstLine="420" w:firstLineChars="200"/>
        <w:rPr>
          <w:rFonts w:hint="eastAsia" w:ascii="宋体" w:hAnsi="宋体" w:cs="宋体"/>
          <w:color w:val="000000" w:themeColor="text1"/>
          <w:highlight w:val="none"/>
          <w:lang w:val="zh-CN"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zh-CN"/>
          <w14:textFill>
            <w14:solidFill>
              <w14:schemeClr w14:val="tx1"/>
            </w14:solidFill>
          </w14:textFill>
        </w:rPr>
        <w:t>.1</w:t>
      </w:r>
      <w:r>
        <w:rPr>
          <w:rFonts w:hint="eastAsia" w:ascii="宋体" w:hAnsi="宋体" w:cs="宋体"/>
          <w:color w:val="000000" w:themeColor="text1"/>
          <w:highlight w:val="none"/>
          <w:lang w:val="zh-CN" w:eastAsia="zh-CN"/>
          <w14:textFill>
            <w14:solidFill>
              <w14:schemeClr w14:val="tx1"/>
            </w14:solidFill>
          </w14:textFill>
        </w:rPr>
        <w:t>本项目产品质保期时间自项目最终验收合格双方签字之日起计算。自验收合格之日起，软件和硬件产品提供</w:t>
      </w:r>
      <w:r>
        <w:rPr>
          <w:rFonts w:hint="eastAsia" w:ascii="宋体" w:hAnsi="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val="zh-CN" w:eastAsia="zh-CN"/>
          <w14:textFill>
            <w14:solidFill>
              <w14:schemeClr w14:val="tx1"/>
            </w14:solidFill>
          </w14:textFill>
        </w:rPr>
        <w:t>年免费质保。产品质保期内的维修和更换相关费用由供应商承担，并且在保修范围内损坏而更换的部件质保期顺延。</w:t>
      </w:r>
    </w:p>
    <w:p w14:paraId="56355921">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cs="宋体"/>
          <w:color w:val="000000" w:themeColor="text1"/>
          <w:highlight w:val="none"/>
          <w:lang w:val="zh-CN"/>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2</w:t>
      </w:r>
      <w:r>
        <w:rPr>
          <w:rFonts w:hint="eastAsia" w:ascii="宋体" w:hAnsi="宋体" w:cs="宋体"/>
          <w:color w:val="000000" w:themeColor="text1"/>
          <w:highlight w:val="none"/>
          <w:lang w:val="zh-CN"/>
          <w14:textFill>
            <w14:solidFill>
              <w14:schemeClr w14:val="tx1"/>
            </w14:solidFill>
          </w14:textFill>
        </w:rPr>
        <w:t>供应商须明确在接到服务要求2小时内响应，同时应提出故障响应时间，须明确维修点地址、负责人、联系人和联系电话，维修点具备何等维修能力等详细资料，否则视为非实质性响应。</w:t>
      </w:r>
    </w:p>
    <w:p w14:paraId="632D14F8">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val="zh-CN"/>
          <w14:textFill>
            <w14:solidFill>
              <w14:schemeClr w14:val="tx1"/>
            </w14:solidFill>
          </w14:textFill>
        </w:rPr>
        <w:t>、设备要求：供应商保证其提供的设备是全新的、未使用过的</w:t>
      </w:r>
      <w:r>
        <w:rPr>
          <w:rFonts w:hint="eastAsia" w:ascii="宋体" w:hAnsi="宋体" w:cs="宋体"/>
          <w:color w:val="000000" w:themeColor="text1"/>
          <w:highlight w:val="none"/>
          <w:lang w:val="zh-CN" w:eastAsia="zh-CN"/>
          <w14:textFill>
            <w14:solidFill>
              <w14:schemeClr w14:val="tx1"/>
            </w14:solidFill>
          </w14:textFill>
        </w:rPr>
        <w:t>正品现货</w:t>
      </w:r>
      <w:r>
        <w:rPr>
          <w:rFonts w:hint="eastAsia" w:ascii="宋体" w:hAnsi="宋体" w:cs="宋体"/>
          <w:color w:val="000000" w:themeColor="text1"/>
          <w:highlight w:val="none"/>
          <w:lang w:val="zh-CN"/>
          <w14:textFill>
            <w14:solidFill>
              <w14:schemeClr w14:val="tx1"/>
            </w14:solidFill>
          </w14:textFill>
        </w:rPr>
        <w:t>，在各个方面符合合同规定的质量、规格和性能要求。合同设备经过正确安装、合理操作和维护保养，在设备寿命期内运转良好。在规定的质保期内，供应商应对由于设计、工艺或材料的缺陷或故障负责。</w:t>
      </w:r>
    </w:p>
    <w:p w14:paraId="174D38BD">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lang w:val="zh-CN"/>
          <w14:textFill>
            <w14:solidFill>
              <w14:schemeClr w14:val="tx1"/>
            </w14:solidFill>
          </w14:textFill>
        </w:rPr>
        <w:t>、备品备件及易损件：中标人或制造商售后服务中，维修使用的备品备件及易损件应为原厂配件，未经采购人同意不得使用非原厂配件。</w:t>
      </w:r>
    </w:p>
    <w:p w14:paraId="694B2EAB">
      <w:pPr>
        <w:pStyle w:val="18"/>
        <w:spacing w:line="360" w:lineRule="auto"/>
        <w:ind w:left="0" w:leftChars="0" w:firstLine="420" w:firstLineChars="200"/>
        <w:rPr>
          <w:rFonts w:ascii="宋体" w:hAnsi="宋体" w:cs="宋体"/>
          <w:color w:val="000000" w:themeColor="text1"/>
          <w:highlight w:val="none"/>
          <w:lang w:val="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cs="宋体"/>
          <w:color w:val="000000" w:themeColor="text1"/>
          <w:highlight w:val="none"/>
          <w:lang w:val="zh-CN"/>
          <w14:textFill>
            <w14:solidFill>
              <w14:schemeClr w14:val="tx1"/>
            </w14:solidFill>
          </w14:textFill>
        </w:rPr>
        <w:t>、投标人在中标后不得以任何理由拒绝原签订的协议价格或约定的价格，如出现此现象，视为违约，并进行相应处罚，直至取消中标单位的资格。</w:t>
      </w:r>
    </w:p>
    <w:p w14:paraId="080BC315">
      <w:pPr>
        <w:widowControl/>
        <w:shd w:val="clear" w:color="auto" w:fill="FFFFFF"/>
        <w:spacing w:line="480" w:lineRule="auto"/>
        <w:ind w:firstLine="480" w:firstLineChars="200"/>
        <w:contextualSpacing/>
        <w:jc w:val="left"/>
        <w:rPr>
          <w:rFonts w:ascii="宋体" w:hAnsi="宋体"/>
          <w:color w:val="auto"/>
          <w:sz w:val="24"/>
          <w:szCs w:val="24"/>
          <w:highlight w:val="none"/>
          <w:lang w:val="zh-CN"/>
        </w:rPr>
      </w:pPr>
      <w:r>
        <w:rPr>
          <w:rFonts w:hint="eastAsia" w:ascii="宋体" w:hAnsi="宋体"/>
          <w:color w:val="auto"/>
          <w:sz w:val="24"/>
          <w:szCs w:val="24"/>
          <w:highlight w:val="none"/>
          <w:lang w:val="zh-CN"/>
        </w:rPr>
        <w:br w:type="page"/>
      </w:r>
    </w:p>
    <w:p w14:paraId="18A1C0ED">
      <w:pPr>
        <w:widowControl/>
        <w:shd w:val="clear" w:color="auto" w:fill="FFFFFF"/>
        <w:spacing w:line="480" w:lineRule="auto"/>
        <w:ind w:firstLine="643" w:firstLineChars="200"/>
        <w:contextualSpacing/>
        <w:jc w:val="center"/>
        <w:rPr>
          <w:rFonts w:ascii="宋体" w:hAnsi="宋体"/>
          <w:b/>
          <w:color w:val="auto"/>
          <w:kern w:val="0"/>
          <w:sz w:val="32"/>
          <w:szCs w:val="32"/>
          <w:highlight w:val="none"/>
        </w:rPr>
      </w:pPr>
      <w:r>
        <w:rPr>
          <w:rFonts w:hint="eastAsia" w:ascii="宋体" w:hAnsi="宋体"/>
          <w:b/>
          <w:color w:val="auto"/>
          <w:kern w:val="0"/>
          <w:sz w:val="32"/>
          <w:szCs w:val="32"/>
          <w:highlight w:val="none"/>
        </w:rPr>
        <w:t>第三章 供应商须知前附表</w:t>
      </w:r>
    </w:p>
    <w:p w14:paraId="21C0D233">
      <w:pPr>
        <w:autoSpaceDE w:val="0"/>
        <w:autoSpaceDN w:val="0"/>
        <w:adjustRightInd w:val="0"/>
        <w:ind w:firstLine="315" w:firstLineChars="150"/>
        <w:jc w:val="left"/>
        <w:rPr>
          <w:rFonts w:ascii="宋体" w:hAnsi="宋体"/>
          <w:b/>
          <w:color w:val="auto"/>
          <w:kern w:val="0"/>
          <w:sz w:val="32"/>
          <w:szCs w:val="32"/>
          <w:highlight w:val="none"/>
        </w:rPr>
      </w:pPr>
      <w:r>
        <w:rPr>
          <w:rFonts w:hint="eastAsia" w:cs="微软雅黑"/>
          <w:color w:val="auto"/>
          <w:szCs w:val="21"/>
          <w:highlight w:val="none"/>
        </w:rPr>
        <w:t>磋商文件中所有带</w:t>
      </w:r>
      <w:r>
        <w:rPr>
          <w:rFonts w:hint="eastAsia" w:ascii="宋体" w:hAnsi="宋体" w:cs="微软雅黑"/>
          <w:b/>
          <w:color w:val="auto"/>
          <w:szCs w:val="21"/>
          <w:highlight w:val="none"/>
        </w:rPr>
        <w:t>★</w:t>
      </w:r>
      <w:r>
        <w:rPr>
          <w:rFonts w:hint="eastAsia" w:cs="微软雅黑"/>
          <w:color w:val="auto"/>
          <w:szCs w:val="21"/>
          <w:highlight w:val="none"/>
        </w:rPr>
        <w:t>条款均为实质性响应条款，响应文件须完全响应，未实质响应的，按照无效报价处理。</w:t>
      </w:r>
    </w:p>
    <w:tbl>
      <w:tblPr>
        <w:tblStyle w:val="31"/>
        <w:tblW w:w="9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2268"/>
        <w:gridCol w:w="6804"/>
      </w:tblGrid>
      <w:tr w14:paraId="6FAD2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06" w:type="dxa"/>
            <w:vAlign w:val="center"/>
          </w:tcPr>
          <w:p w14:paraId="341DD822">
            <w:pPr>
              <w:autoSpaceDE w:val="0"/>
              <w:autoSpaceDN w:val="0"/>
              <w:adjustRightInd w:val="0"/>
              <w:spacing w:line="276" w:lineRule="auto"/>
              <w:jc w:val="center"/>
              <w:rPr>
                <w:rFonts w:ascii="宋体" w:hAnsi="宋体" w:cs="仿宋_GB2312"/>
                <w:b/>
                <w:color w:val="auto"/>
                <w:szCs w:val="21"/>
                <w:highlight w:val="none"/>
              </w:rPr>
            </w:pPr>
            <w:r>
              <w:rPr>
                <w:rFonts w:hint="eastAsia" w:ascii="宋体" w:hAnsi="宋体" w:cs="仿宋_GB2312"/>
                <w:b/>
                <w:color w:val="auto"/>
                <w:szCs w:val="21"/>
                <w:highlight w:val="none"/>
              </w:rPr>
              <w:t>序号</w:t>
            </w:r>
          </w:p>
        </w:tc>
        <w:tc>
          <w:tcPr>
            <w:tcW w:w="2268" w:type="dxa"/>
            <w:vAlign w:val="center"/>
          </w:tcPr>
          <w:p w14:paraId="74BE6F58">
            <w:pPr>
              <w:autoSpaceDE w:val="0"/>
              <w:autoSpaceDN w:val="0"/>
              <w:adjustRightInd w:val="0"/>
              <w:spacing w:line="276" w:lineRule="auto"/>
              <w:jc w:val="center"/>
              <w:rPr>
                <w:rFonts w:ascii="宋体" w:hAnsi="宋体" w:cs="仿宋_GB2312"/>
                <w:b/>
                <w:color w:val="auto"/>
                <w:szCs w:val="21"/>
                <w:highlight w:val="none"/>
              </w:rPr>
            </w:pPr>
            <w:r>
              <w:rPr>
                <w:rFonts w:hint="eastAsia" w:ascii="宋体" w:hAnsi="宋体" w:cs="仿宋_GB2312"/>
                <w:b/>
                <w:color w:val="auto"/>
                <w:szCs w:val="21"/>
                <w:highlight w:val="none"/>
              </w:rPr>
              <w:t>条款名称</w:t>
            </w:r>
          </w:p>
        </w:tc>
        <w:tc>
          <w:tcPr>
            <w:tcW w:w="6804" w:type="dxa"/>
            <w:vAlign w:val="center"/>
          </w:tcPr>
          <w:p w14:paraId="393D86DC">
            <w:pPr>
              <w:autoSpaceDE w:val="0"/>
              <w:autoSpaceDN w:val="0"/>
              <w:adjustRightInd w:val="0"/>
              <w:spacing w:line="276" w:lineRule="auto"/>
              <w:jc w:val="center"/>
              <w:rPr>
                <w:rFonts w:ascii="宋体" w:hAnsi="宋体" w:cs="仿宋_GB2312"/>
                <w:b/>
                <w:color w:val="auto"/>
                <w:szCs w:val="21"/>
                <w:highlight w:val="none"/>
              </w:rPr>
            </w:pPr>
            <w:r>
              <w:rPr>
                <w:rFonts w:hint="eastAsia" w:ascii="宋体" w:hAnsi="宋体" w:cs="仿宋_GB2312"/>
                <w:b/>
                <w:color w:val="auto"/>
                <w:szCs w:val="21"/>
                <w:highlight w:val="none"/>
              </w:rPr>
              <w:t>说明和要求</w:t>
            </w:r>
          </w:p>
        </w:tc>
      </w:tr>
      <w:tr w14:paraId="57DF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806" w:type="dxa"/>
            <w:vAlign w:val="center"/>
          </w:tcPr>
          <w:p w14:paraId="63D839D4">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w:t>
            </w:r>
          </w:p>
        </w:tc>
        <w:tc>
          <w:tcPr>
            <w:tcW w:w="2268" w:type="dxa"/>
            <w:vAlign w:val="center"/>
          </w:tcPr>
          <w:p w14:paraId="3EED9BAF">
            <w:pPr>
              <w:autoSpaceDE w:val="0"/>
              <w:autoSpaceDN w:val="0"/>
              <w:adjustRightInd w:val="0"/>
              <w:spacing w:line="276" w:lineRule="auto"/>
              <w:jc w:val="center"/>
              <w:rPr>
                <w:rFonts w:ascii="宋体" w:hAnsi="宋体" w:cs="仿宋_GB2312"/>
                <w:color w:val="auto"/>
                <w:szCs w:val="21"/>
                <w:highlight w:val="none"/>
              </w:rPr>
            </w:pPr>
            <w:r>
              <w:rPr>
                <w:rFonts w:hint="eastAsia" w:ascii="宋体" w:hAnsi="宋体" w:cs="仿宋_GB2312"/>
                <w:color w:val="auto"/>
                <w:szCs w:val="21"/>
                <w:highlight w:val="none"/>
              </w:rPr>
              <w:t>采购项目</w:t>
            </w:r>
          </w:p>
        </w:tc>
        <w:tc>
          <w:tcPr>
            <w:tcW w:w="6804" w:type="dxa"/>
          </w:tcPr>
          <w:p w14:paraId="52229415">
            <w:pPr>
              <w:autoSpaceDE w:val="0"/>
              <w:autoSpaceDN w:val="0"/>
              <w:adjustRightInd w:val="0"/>
              <w:spacing w:line="360" w:lineRule="auto"/>
              <w:jc w:val="left"/>
              <w:rPr>
                <w:rFonts w:hint="eastAsia" w:ascii="宋体" w:hAnsi="宋体" w:eastAsia="宋体" w:cs="仿宋_GB2312"/>
                <w:color w:val="auto"/>
                <w:szCs w:val="21"/>
                <w:highlight w:val="none"/>
                <w:lang w:eastAsia="zh-CN"/>
              </w:rPr>
            </w:pPr>
            <w:r>
              <w:rPr>
                <w:rFonts w:hint="eastAsia" w:ascii="宋体" w:hAnsi="宋体" w:eastAsia="宋体" w:cs="仿宋_GB2312"/>
                <w:color w:val="auto"/>
                <w:szCs w:val="21"/>
                <w:highlight w:val="none"/>
              </w:rPr>
              <w:t>项目名称：</w:t>
            </w:r>
            <w:r>
              <w:rPr>
                <w:rFonts w:hint="eastAsia" w:ascii="宋体" w:hAnsi="宋体" w:eastAsia="宋体" w:cs="仿宋_GB2312"/>
                <w:color w:val="auto"/>
                <w:szCs w:val="21"/>
                <w:highlight w:val="none"/>
                <w:lang w:val="en-US" w:eastAsia="zh-CN"/>
              </w:rPr>
              <w:t>春秋楼关圣殿数字化工程项目投影机采购</w:t>
            </w:r>
          </w:p>
          <w:p w14:paraId="0159F90B">
            <w:pPr>
              <w:autoSpaceDE w:val="0"/>
              <w:autoSpaceDN w:val="0"/>
              <w:adjustRightInd w:val="0"/>
              <w:spacing w:line="360" w:lineRule="auto"/>
              <w:jc w:val="left"/>
              <w:rPr>
                <w:rFonts w:hint="eastAsia" w:ascii="宋体" w:hAnsi="宋体" w:eastAsia="宋体" w:cs="仿宋_GB2312"/>
                <w:color w:val="auto"/>
                <w:szCs w:val="21"/>
                <w:highlight w:val="none"/>
                <w:lang w:eastAsia="zh-CN"/>
              </w:rPr>
            </w:pPr>
            <w:r>
              <w:rPr>
                <w:rFonts w:hint="eastAsia" w:ascii="宋体" w:hAnsi="宋体" w:eastAsia="宋体" w:cs="仿宋_GB2312"/>
                <w:color w:val="auto"/>
                <w:szCs w:val="21"/>
                <w:highlight w:val="none"/>
              </w:rPr>
              <w:t>项目编号：</w:t>
            </w:r>
            <w:r>
              <w:rPr>
                <w:rFonts w:hint="eastAsia" w:ascii="宋体" w:hAnsi="宋体" w:eastAsia="宋体" w:cs="仿宋_GB2312"/>
                <w:color w:val="auto"/>
                <w:szCs w:val="21"/>
                <w:highlight w:val="none"/>
                <w:lang w:eastAsia="zh-CN"/>
              </w:rPr>
              <w:t>HNYM-C202</w:t>
            </w:r>
            <w:r>
              <w:rPr>
                <w:rFonts w:hint="eastAsia" w:ascii="宋体" w:hAnsi="宋体" w:eastAsia="宋体" w:cs="仿宋_GB2312"/>
                <w:color w:val="auto"/>
                <w:szCs w:val="21"/>
                <w:highlight w:val="none"/>
                <w:lang w:val="en-US" w:eastAsia="zh-CN"/>
              </w:rPr>
              <w:t>4025</w:t>
            </w:r>
            <w:r>
              <w:rPr>
                <w:rFonts w:hint="eastAsia" w:ascii="宋体" w:hAnsi="宋体" w:eastAsia="宋体" w:cs="仿宋_GB2312"/>
                <w:color w:val="auto"/>
                <w:szCs w:val="21"/>
                <w:highlight w:val="none"/>
                <w:lang w:eastAsia="zh-CN"/>
              </w:rPr>
              <w:t>号</w:t>
            </w:r>
          </w:p>
          <w:p w14:paraId="7BA06B91">
            <w:pPr>
              <w:autoSpaceDE w:val="0"/>
              <w:autoSpaceDN w:val="0"/>
              <w:adjustRightInd w:val="0"/>
              <w:spacing w:line="360" w:lineRule="auto"/>
              <w:jc w:val="left"/>
              <w:rPr>
                <w:rFonts w:hint="eastAsia" w:ascii="宋体" w:hAnsi="宋体" w:eastAsia="宋体" w:cs="仿宋_GB2312"/>
                <w:color w:val="auto"/>
                <w:szCs w:val="21"/>
                <w:highlight w:val="none"/>
                <w:lang w:eastAsia="zh-CN"/>
              </w:rPr>
            </w:pPr>
            <w:r>
              <w:rPr>
                <w:rFonts w:hint="eastAsia" w:ascii="宋体" w:hAnsi="宋体" w:eastAsia="宋体" w:cs="仿宋_GB2312"/>
                <w:color w:val="auto"/>
                <w:szCs w:val="21"/>
                <w:highlight w:val="none"/>
              </w:rPr>
              <w:t>项目内容：</w:t>
            </w:r>
            <w:r>
              <w:rPr>
                <w:rFonts w:hint="eastAsia" w:ascii="宋体" w:hAnsi="宋体" w:eastAsia="宋体" w:cs="仿宋_GB2312"/>
                <w:color w:val="auto"/>
                <w:szCs w:val="21"/>
                <w:highlight w:val="none"/>
                <w:lang w:val="en-US" w:eastAsia="zh-CN"/>
              </w:rPr>
              <w:t>春秋楼关圣殿数字化工程项目投影机采购</w:t>
            </w:r>
          </w:p>
          <w:p w14:paraId="5E5CF826">
            <w:pPr>
              <w:autoSpaceDE w:val="0"/>
              <w:autoSpaceDN w:val="0"/>
              <w:adjustRightInd w:val="0"/>
              <w:spacing w:line="360" w:lineRule="auto"/>
              <w:jc w:val="left"/>
              <w:rPr>
                <w:rFonts w:ascii="宋体" w:hAnsi="宋体" w:cs="仿宋_GB2312"/>
                <w:color w:val="auto"/>
                <w:szCs w:val="21"/>
                <w:highlight w:val="none"/>
              </w:rPr>
            </w:pPr>
            <w:r>
              <w:rPr>
                <w:rFonts w:hint="eastAsia" w:ascii="宋体" w:hAnsi="宋体" w:eastAsia="宋体" w:cs="仿宋_GB2312"/>
                <w:color w:val="auto"/>
                <w:szCs w:val="21"/>
                <w:highlight w:val="none"/>
              </w:rPr>
              <w:t>（具体内容详见采购</w:t>
            </w:r>
            <w:r>
              <w:rPr>
                <w:rFonts w:hint="eastAsia" w:ascii="宋体" w:hAnsi="宋体" w:eastAsia="宋体" w:cs="仿宋_GB2312"/>
                <w:color w:val="auto"/>
                <w:szCs w:val="21"/>
                <w:highlight w:val="none"/>
                <w:lang w:val="en-US" w:eastAsia="zh-CN"/>
              </w:rPr>
              <w:t>清单</w:t>
            </w:r>
            <w:r>
              <w:rPr>
                <w:rFonts w:hint="eastAsia" w:ascii="宋体" w:hAnsi="宋体" w:eastAsia="宋体" w:cs="仿宋_GB2312"/>
                <w:color w:val="auto"/>
                <w:szCs w:val="21"/>
                <w:highlight w:val="none"/>
              </w:rPr>
              <w:t xml:space="preserve">）  </w:t>
            </w:r>
          </w:p>
        </w:tc>
      </w:tr>
      <w:tr w14:paraId="1CF80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806" w:type="dxa"/>
            <w:vAlign w:val="center"/>
          </w:tcPr>
          <w:p w14:paraId="36BC7DDE">
            <w:pPr>
              <w:autoSpaceDE w:val="0"/>
              <w:autoSpaceDN w:val="0"/>
              <w:adjustRightInd w:val="0"/>
              <w:spacing w:line="276" w:lineRule="auto"/>
              <w:jc w:val="center"/>
              <w:rPr>
                <w:rFonts w:ascii="宋体" w:hAnsi="宋体" w:cs="TimesNewRomanPSMT"/>
                <w:color w:val="auto"/>
                <w:szCs w:val="21"/>
                <w:highlight w:val="none"/>
              </w:rPr>
            </w:pPr>
            <w:r>
              <w:rPr>
                <w:rFonts w:hint="eastAsia" w:ascii="宋体" w:hAnsi="宋体" w:cs="TimesNewRomanPSMT"/>
                <w:color w:val="auto"/>
                <w:szCs w:val="21"/>
                <w:highlight w:val="none"/>
              </w:rPr>
              <w:t>2</w:t>
            </w:r>
          </w:p>
        </w:tc>
        <w:tc>
          <w:tcPr>
            <w:tcW w:w="2268" w:type="dxa"/>
            <w:vAlign w:val="center"/>
          </w:tcPr>
          <w:p w14:paraId="0A487D1A">
            <w:pPr>
              <w:autoSpaceDE w:val="0"/>
              <w:autoSpaceDN w:val="0"/>
              <w:adjustRightInd w:val="0"/>
              <w:spacing w:line="276" w:lineRule="auto"/>
              <w:jc w:val="center"/>
              <w:rPr>
                <w:rFonts w:ascii="宋体" w:hAnsi="宋体" w:cs="仿宋_GB2312"/>
                <w:color w:val="auto"/>
                <w:szCs w:val="21"/>
                <w:highlight w:val="none"/>
              </w:rPr>
            </w:pPr>
            <w:r>
              <w:rPr>
                <w:rFonts w:hint="eastAsia" w:ascii="宋体" w:hAnsi="宋体" w:cs="仿宋_GB2312"/>
                <w:color w:val="auto"/>
                <w:szCs w:val="21"/>
                <w:highlight w:val="none"/>
              </w:rPr>
              <w:t>采购人</w:t>
            </w:r>
          </w:p>
        </w:tc>
        <w:tc>
          <w:tcPr>
            <w:tcW w:w="6804" w:type="dxa"/>
            <w:vAlign w:val="center"/>
          </w:tcPr>
          <w:p w14:paraId="180A27D0">
            <w:pPr>
              <w:spacing w:line="440" w:lineRule="exact"/>
              <w:rPr>
                <w:rFonts w:hint="default"/>
                <w:color w:val="auto"/>
                <w:highlight w:val="none"/>
                <w:lang w:val="en-US" w:eastAsia="zh-CN"/>
              </w:rPr>
            </w:pPr>
            <w:r>
              <w:rPr>
                <w:rFonts w:hint="default"/>
                <w:color w:val="auto"/>
                <w:highlight w:val="none"/>
                <w:lang w:val="en-US" w:eastAsia="zh-CN"/>
              </w:rPr>
              <w:t>采 购 人：许昌市文化投资有限责任公司</w:t>
            </w:r>
          </w:p>
          <w:p w14:paraId="495BE1D4">
            <w:pPr>
              <w:spacing w:line="440" w:lineRule="exact"/>
              <w:rPr>
                <w:rFonts w:hint="default"/>
                <w:color w:val="auto"/>
                <w:highlight w:val="none"/>
                <w:lang w:val="en-US" w:eastAsia="zh-CN"/>
              </w:rPr>
            </w:pPr>
            <w:r>
              <w:rPr>
                <w:rFonts w:hint="default"/>
                <w:color w:val="auto"/>
                <w:highlight w:val="none"/>
                <w:lang w:val="en-US" w:eastAsia="zh-CN"/>
              </w:rPr>
              <w:t>联 系 人：马先生</w:t>
            </w:r>
          </w:p>
          <w:p w14:paraId="57EDCB92">
            <w:pPr>
              <w:spacing w:line="440" w:lineRule="exact"/>
              <w:rPr>
                <w:rFonts w:hint="default"/>
                <w:color w:val="auto"/>
                <w:highlight w:val="none"/>
                <w:lang w:val="en-US"/>
              </w:rPr>
            </w:pPr>
            <w:r>
              <w:rPr>
                <w:rFonts w:hint="default"/>
                <w:color w:val="auto"/>
                <w:highlight w:val="none"/>
                <w:lang w:val="en-US" w:eastAsia="zh-CN"/>
              </w:rPr>
              <w:t xml:space="preserve">联系方式：16696885060 </w:t>
            </w:r>
          </w:p>
        </w:tc>
      </w:tr>
      <w:tr w14:paraId="58C50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06" w:type="dxa"/>
            <w:vAlign w:val="center"/>
          </w:tcPr>
          <w:p w14:paraId="71A2806E">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3</w:t>
            </w:r>
          </w:p>
        </w:tc>
        <w:tc>
          <w:tcPr>
            <w:tcW w:w="2268" w:type="dxa"/>
            <w:vAlign w:val="center"/>
          </w:tcPr>
          <w:p w14:paraId="71D61958">
            <w:pPr>
              <w:autoSpaceDE w:val="0"/>
              <w:autoSpaceDN w:val="0"/>
              <w:adjustRightInd w:val="0"/>
              <w:spacing w:line="276" w:lineRule="auto"/>
              <w:jc w:val="center"/>
              <w:rPr>
                <w:rFonts w:ascii="宋体" w:hAnsi="宋体" w:cs="仿宋_GB2312"/>
                <w:color w:val="auto"/>
                <w:szCs w:val="21"/>
                <w:highlight w:val="none"/>
              </w:rPr>
            </w:pPr>
            <w:r>
              <w:rPr>
                <w:rFonts w:hint="eastAsia" w:ascii="宋体" w:hAnsi="宋体" w:cs="仿宋_GB2312"/>
                <w:color w:val="auto"/>
                <w:szCs w:val="21"/>
                <w:highlight w:val="none"/>
              </w:rPr>
              <w:t>采购代理机构</w:t>
            </w:r>
          </w:p>
        </w:tc>
        <w:tc>
          <w:tcPr>
            <w:tcW w:w="6804" w:type="dxa"/>
            <w:vAlign w:val="center"/>
          </w:tcPr>
          <w:p w14:paraId="390BEE9F">
            <w:pPr>
              <w:spacing w:line="440" w:lineRule="exact"/>
              <w:rPr>
                <w:rFonts w:hint="default"/>
                <w:color w:val="auto"/>
                <w:highlight w:val="none"/>
                <w:lang w:val="en-US"/>
              </w:rPr>
            </w:pPr>
            <w:r>
              <w:rPr>
                <w:rFonts w:hint="default"/>
                <w:color w:val="auto"/>
                <w:highlight w:val="none"/>
                <w:lang w:val="en-US"/>
              </w:rPr>
              <w:t>代理机构：河南永明工程管理有限公司</w:t>
            </w:r>
          </w:p>
          <w:p w14:paraId="4FF1F805">
            <w:pPr>
              <w:spacing w:line="440" w:lineRule="exact"/>
              <w:rPr>
                <w:rFonts w:hint="default"/>
                <w:color w:val="auto"/>
                <w:highlight w:val="none"/>
                <w:lang w:val="en-US"/>
              </w:rPr>
            </w:pPr>
            <w:r>
              <w:rPr>
                <w:rFonts w:hint="default"/>
                <w:color w:val="auto"/>
                <w:highlight w:val="none"/>
                <w:lang w:val="en-US"/>
              </w:rPr>
              <w:t>联 系 人：</w:t>
            </w:r>
            <w:r>
              <w:rPr>
                <w:rFonts w:hint="default"/>
                <w:color w:val="auto"/>
                <w:highlight w:val="none"/>
                <w:lang w:val="en-US" w:eastAsia="zh-CN"/>
              </w:rPr>
              <w:t>罗先生</w:t>
            </w:r>
          </w:p>
          <w:p w14:paraId="2D247E09">
            <w:pPr>
              <w:spacing w:line="440" w:lineRule="exact"/>
              <w:rPr>
                <w:rFonts w:ascii="宋体" w:hAnsi="宋体" w:cs="仿宋_GB2312"/>
                <w:color w:val="auto"/>
                <w:szCs w:val="21"/>
                <w:highlight w:val="none"/>
              </w:rPr>
            </w:pPr>
            <w:r>
              <w:rPr>
                <w:rFonts w:hint="default"/>
                <w:color w:val="auto"/>
                <w:highlight w:val="none"/>
                <w:lang w:val="en-US"/>
              </w:rPr>
              <w:t>电    话：</w:t>
            </w:r>
            <w:r>
              <w:rPr>
                <w:rFonts w:hint="default"/>
                <w:color w:val="auto"/>
                <w:highlight w:val="none"/>
                <w:lang w:val="en-US" w:eastAsia="zh-CN"/>
              </w:rPr>
              <w:t>0374-5051770</w:t>
            </w:r>
          </w:p>
        </w:tc>
      </w:tr>
      <w:tr w14:paraId="569D0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6" w:type="dxa"/>
            <w:vMerge w:val="restart"/>
            <w:vAlign w:val="center"/>
          </w:tcPr>
          <w:p w14:paraId="12828D4F">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4</w:t>
            </w:r>
          </w:p>
        </w:tc>
        <w:tc>
          <w:tcPr>
            <w:tcW w:w="2268" w:type="dxa"/>
            <w:vMerge w:val="restart"/>
            <w:vAlign w:val="center"/>
          </w:tcPr>
          <w:p w14:paraId="36CD9F0C">
            <w:pPr>
              <w:autoSpaceDE w:val="0"/>
              <w:autoSpaceDN w:val="0"/>
              <w:adjustRightInd w:val="0"/>
              <w:spacing w:line="276" w:lineRule="auto"/>
              <w:jc w:val="center"/>
              <w:rPr>
                <w:rFonts w:ascii="宋体" w:hAnsi="宋体" w:cs="仿宋_GB2312"/>
                <w:color w:val="auto"/>
                <w:szCs w:val="21"/>
                <w:highlight w:val="none"/>
              </w:rPr>
            </w:pPr>
            <w:r>
              <w:rPr>
                <w:rFonts w:hint="eastAsia" w:ascii="宋体" w:hAnsi="宋体" w:cs="微软雅黑"/>
                <w:b/>
                <w:color w:val="auto"/>
                <w:szCs w:val="21"/>
                <w:highlight w:val="none"/>
              </w:rPr>
              <w:t>★</w:t>
            </w:r>
            <w:r>
              <w:rPr>
                <w:rFonts w:hint="eastAsia" w:ascii="宋体" w:hAnsi="宋体" w:cs="仿宋_GB2312"/>
                <w:color w:val="auto"/>
                <w:szCs w:val="21"/>
                <w:highlight w:val="none"/>
              </w:rPr>
              <w:t>供应商资格</w:t>
            </w:r>
          </w:p>
        </w:tc>
        <w:tc>
          <w:tcPr>
            <w:tcW w:w="6804" w:type="dxa"/>
            <w:vAlign w:val="center"/>
          </w:tcPr>
          <w:p w14:paraId="71765013">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lang w:val="zh-CN"/>
              </w:rPr>
              <w:t xml:space="preserve">符合《中华人民共和国政府采购法》第二十二条规定 </w:t>
            </w:r>
          </w:p>
          <w:p w14:paraId="15D46B2C">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lang w:val="zh-CN"/>
              </w:rPr>
              <w:t xml:space="preserve">1、具有独立承担民事责任的能力； </w:t>
            </w:r>
          </w:p>
          <w:p w14:paraId="6C835135">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lang w:val="zh-CN"/>
              </w:rPr>
              <w:t xml:space="preserve">2、具有良好的商业信誉和健全的财务会计制度； </w:t>
            </w:r>
          </w:p>
          <w:p w14:paraId="0409E157">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lang w:val="zh-CN"/>
              </w:rPr>
              <w:t xml:space="preserve">3、具有履行合同所必需的设备和专业技术能力； </w:t>
            </w:r>
          </w:p>
          <w:p w14:paraId="4773EEE7">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lang w:val="zh-CN"/>
              </w:rPr>
              <w:t xml:space="preserve">4、具有依法缴纳税收和社会保障资金的良好记录； </w:t>
            </w:r>
          </w:p>
          <w:p w14:paraId="3F28F9CB">
            <w:pPr>
              <w:autoSpaceDE w:val="0"/>
              <w:autoSpaceDN w:val="0"/>
              <w:adjustRightInd w:val="0"/>
              <w:spacing w:line="520" w:lineRule="exact"/>
              <w:ind w:right="-11" w:rightChars="0"/>
              <w:rPr>
                <w:color w:val="auto"/>
                <w:highlight w:val="none"/>
              </w:rPr>
            </w:pPr>
            <w:r>
              <w:rPr>
                <w:rFonts w:hint="eastAsia" w:ascii="宋体" w:hAnsi="宋体" w:cs="宋体"/>
                <w:szCs w:val="21"/>
                <w:lang w:val="zh-CN"/>
              </w:rPr>
              <w:t>5、参加政府采购活动前三年内，在经营活动中没有重大违法记录；</w:t>
            </w:r>
          </w:p>
        </w:tc>
      </w:tr>
      <w:tr w14:paraId="2AB1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6" w:type="dxa"/>
            <w:vMerge w:val="continue"/>
            <w:vAlign w:val="center"/>
          </w:tcPr>
          <w:p w14:paraId="1B4014EC">
            <w:pPr>
              <w:autoSpaceDE w:val="0"/>
              <w:autoSpaceDN w:val="0"/>
              <w:adjustRightInd w:val="0"/>
              <w:spacing w:line="276" w:lineRule="auto"/>
              <w:jc w:val="center"/>
              <w:rPr>
                <w:rFonts w:hint="eastAsia" w:ascii="宋体" w:hAnsi="宋体" w:cs="黑体"/>
                <w:color w:val="auto"/>
                <w:szCs w:val="21"/>
                <w:highlight w:val="none"/>
              </w:rPr>
            </w:pPr>
          </w:p>
        </w:tc>
        <w:tc>
          <w:tcPr>
            <w:tcW w:w="2268" w:type="dxa"/>
            <w:vMerge w:val="continue"/>
            <w:vAlign w:val="center"/>
          </w:tcPr>
          <w:p w14:paraId="7FD03C6C">
            <w:pPr>
              <w:autoSpaceDE w:val="0"/>
              <w:autoSpaceDN w:val="0"/>
              <w:adjustRightInd w:val="0"/>
              <w:spacing w:line="276" w:lineRule="auto"/>
              <w:jc w:val="center"/>
              <w:rPr>
                <w:rFonts w:hint="eastAsia" w:ascii="宋体" w:hAnsi="宋体" w:cs="微软雅黑"/>
                <w:b/>
                <w:color w:val="auto"/>
                <w:szCs w:val="21"/>
                <w:highlight w:val="none"/>
              </w:rPr>
            </w:pPr>
          </w:p>
        </w:tc>
        <w:tc>
          <w:tcPr>
            <w:tcW w:w="6804" w:type="dxa"/>
            <w:vAlign w:val="center"/>
          </w:tcPr>
          <w:p w14:paraId="25147FE3">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lang w:val="zh-CN"/>
              </w:rPr>
              <w:t xml:space="preserve">注： </w:t>
            </w:r>
          </w:p>
          <w:p w14:paraId="520024B9">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rPr>
              <w:t>1、供应商</w:t>
            </w:r>
            <w:r>
              <w:rPr>
                <w:rFonts w:hint="eastAsia" w:ascii="宋体" w:hAnsi="宋体" w:cs="宋体"/>
                <w:szCs w:val="21"/>
                <w:lang w:val="zh-CN"/>
              </w:rPr>
              <w:t xml:space="preserve">在投标时，提供《许昌市政府采购供应商信用承诺函》（详见招标文件第八章3.5格式），无需再提交上述证明材料。 </w:t>
            </w:r>
          </w:p>
          <w:p w14:paraId="5E2E6355">
            <w:pPr>
              <w:autoSpaceDE w:val="0"/>
              <w:autoSpaceDN w:val="0"/>
              <w:adjustRightInd w:val="0"/>
              <w:spacing w:line="520" w:lineRule="exact"/>
              <w:ind w:right="-11"/>
              <w:rPr>
                <w:rFonts w:ascii="宋体" w:hAnsi="宋体" w:cs="宋体"/>
                <w:szCs w:val="21"/>
                <w:lang w:val="zh-CN"/>
              </w:rPr>
            </w:pPr>
            <w:r>
              <w:rPr>
                <w:rFonts w:hint="eastAsia" w:ascii="宋体" w:hAnsi="宋体" w:cs="宋体"/>
                <w:szCs w:val="21"/>
              </w:rPr>
              <w:t>2、</w:t>
            </w:r>
            <w:r>
              <w:rPr>
                <w:rFonts w:hint="eastAsia" w:ascii="宋体" w:hAnsi="宋体" w:cs="宋体"/>
                <w:szCs w:val="21"/>
                <w:lang w:val="zh-CN"/>
              </w:rPr>
              <w:t xml:space="preserve">采购人有权在签订合同前要求中标供应商提供相关证明材料以核实中标供应商承诺事项的真实性。 </w:t>
            </w:r>
          </w:p>
          <w:p w14:paraId="7230E16F">
            <w:pPr>
              <w:autoSpaceDE w:val="0"/>
              <w:autoSpaceDN w:val="0"/>
              <w:adjustRightInd w:val="0"/>
              <w:spacing w:line="520" w:lineRule="exact"/>
              <w:ind w:right="-11" w:rightChars="0"/>
              <w:rPr>
                <w:color w:val="auto"/>
                <w:highlight w:val="none"/>
              </w:rPr>
            </w:pPr>
            <w:r>
              <w:rPr>
                <w:rFonts w:hint="eastAsia" w:ascii="宋体" w:hAnsi="宋体" w:cs="宋体"/>
                <w:szCs w:val="21"/>
                <w:lang w:val="zh-CN"/>
              </w:rPr>
              <w:t>3、</w:t>
            </w:r>
            <w:r>
              <w:rPr>
                <w:rFonts w:hint="eastAsia" w:ascii="宋体" w:hAnsi="宋体" w:cs="宋体"/>
                <w:szCs w:val="21"/>
              </w:rPr>
              <w:t>供应商</w:t>
            </w:r>
            <w:r>
              <w:rPr>
                <w:rFonts w:hint="eastAsia" w:ascii="宋体" w:hAnsi="宋体" w:cs="宋体"/>
                <w:szCs w:val="21"/>
                <w:lang w:val="zh-CN"/>
              </w:rPr>
              <w:t>对信用承诺内容的真实性、合法性、有效性负责。如作出虚假信用承诺，视同为“提供虚假材料谋取中标”的违法行为。</w:t>
            </w:r>
          </w:p>
        </w:tc>
      </w:tr>
      <w:tr w14:paraId="6F784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4322B7C0">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5</w:t>
            </w:r>
          </w:p>
        </w:tc>
        <w:tc>
          <w:tcPr>
            <w:tcW w:w="2268" w:type="dxa"/>
            <w:vAlign w:val="center"/>
          </w:tcPr>
          <w:p w14:paraId="20555EC8">
            <w:pPr>
              <w:autoSpaceDE w:val="0"/>
              <w:autoSpaceDN w:val="0"/>
              <w:adjustRightInd w:val="0"/>
              <w:spacing w:line="276" w:lineRule="auto"/>
              <w:jc w:val="center"/>
              <w:rPr>
                <w:rFonts w:ascii="宋体" w:hAnsi="宋体"/>
                <w:bCs/>
                <w:color w:val="auto"/>
                <w:szCs w:val="21"/>
                <w:highlight w:val="none"/>
                <w:lang w:val="zh-CN"/>
              </w:rPr>
            </w:pPr>
            <w:r>
              <w:rPr>
                <w:rFonts w:hint="eastAsia" w:ascii="宋体" w:hAnsi="宋体" w:cs="微软雅黑"/>
                <w:b/>
                <w:color w:val="auto"/>
                <w:szCs w:val="21"/>
                <w:highlight w:val="none"/>
              </w:rPr>
              <w:t>★</w:t>
            </w:r>
            <w:r>
              <w:rPr>
                <w:rFonts w:hint="eastAsia" w:ascii="宋体" w:hAnsi="宋体"/>
                <w:bCs/>
                <w:color w:val="auto"/>
                <w:szCs w:val="21"/>
                <w:highlight w:val="none"/>
                <w:lang w:val="zh-CN"/>
              </w:rPr>
              <w:t>联合体响应</w:t>
            </w:r>
          </w:p>
        </w:tc>
        <w:tc>
          <w:tcPr>
            <w:tcW w:w="6804" w:type="dxa"/>
            <w:vAlign w:val="center"/>
          </w:tcPr>
          <w:p w14:paraId="1DAFEA02">
            <w:pPr>
              <w:autoSpaceDE w:val="0"/>
              <w:autoSpaceDN w:val="0"/>
              <w:adjustRightInd w:val="0"/>
              <w:spacing w:line="276" w:lineRule="auto"/>
              <w:rPr>
                <w:rFonts w:ascii="宋体" w:hAnsi="宋体"/>
                <w:color w:val="auto"/>
                <w:kern w:val="0"/>
                <w:szCs w:val="21"/>
                <w:highlight w:val="none"/>
              </w:rPr>
            </w:pPr>
            <w:r>
              <w:rPr>
                <w:rFonts w:hint="eastAsia" w:ascii="宋体" w:hAnsi="宋体"/>
                <w:color w:val="auto"/>
                <w:kern w:val="0"/>
                <w:szCs w:val="21"/>
                <w:highlight w:val="none"/>
              </w:rPr>
              <w:t>本项目</w:t>
            </w: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hint="eastAsia" w:ascii="宋体" w:hAnsi="宋体"/>
                <w:b/>
                <w:color w:val="auto"/>
                <w:kern w:val="0"/>
                <w:position w:val="2"/>
                <w:sz w:val="13"/>
                <w:szCs w:val="21"/>
                <w:highlight w:val="none"/>
                <w:lang w:val="zh-CN"/>
              </w:rPr>
              <w:instrText xml:space="preserve">√</w:instrText>
            </w:r>
            <w:r>
              <w:rPr>
                <w:rFonts w:hint="eastAsia" w:ascii="宋体" w:hAnsi="宋体"/>
                <w:b/>
                <w:color w:val="auto"/>
                <w:kern w:val="0"/>
                <w:szCs w:val="21"/>
                <w:highlight w:val="none"/>
                <w:lang w:val="zh-CN"/>
              </w:rPr>
              <w:instrText xml:space="preserve">)</w:instrText>
            </w:r>
            <w:r>
              <w:rPr>
                <w:rFonts w:ascii="宋体" w:hAnsi="宋体"/>
                <w:b/>
                <w:color w:val="auto"/>
                <w:kern w:val="0"/>
                <w:szCs w:val="21"/>
                <w:highlight w:val="none"/>
                <w:lang w:val="zh-CN"/>
              </w:rPr>
              <w:fldChar w:fldCharType="end"/>
            </w:r>
            <w:r>
              <w:rPr>
                <w:rFonts w:hint="eastAsia" w:ascii="宋体" w:hAnsi="宋体"/>
                <w:color w:val="auto"/>
                <w:kern w:val="0"/>
                <w:szCs w:val="21"/>
                <w:highlight w:val="none"/>
              </w:rPr>
              <w:t>不接受</w:t>
            </w: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ascii="宋体" w:hAnsi="宋体"/>
                <w:b/>
                <w:color w:val="auto"/>
                <w:kern w:val="0"/>
                <w:szCs w:val="21"/>
                <w:highlight w:val="none"/>
                <w:lang w:val="zh-CN"/>
              </w:rPr>
              <w:fldChar w:fldCharType="end"/>
            </w:r>
            <w:r>
              <w:rPr>
                <w:rFonts w:hint="eastAsia" w:ascii="宋体" w:hAnsi="宋体"/>
                <w:bCs/>
                <w:color w:val="auto"/>
                <w:szCs w:val="21"/>
                <w:highlight w:val="none"/>
                <w:lang w:val="zh-CN"/>
              </w:rPr>
              <w:t>接受</w:t>
            </w:r>
            <w:r>
              <w:rPr>
                <w:rFonts w:hint="eastAsia" w:ascii="宋体" w:hAnsi="宋体"/>
                <w:color w:val="auto"/>
                <w:kern w:val="0"/>
                <w:szCs w:val="21"/>
                <w:highlight w:val="none"/>
              </w:rPr>
              <w:t>联合体响应</w:t>
            </w:r>
          </w:p>
          <w:p w14:paraId="6150B3F5">
            <w:pPr>
              <w:autoSpaceDE w:val="0"/>
              <w:autoSpaceDN w:val="0"/>
              <w:adjustRightInd w:val="0"/>
              <w:spacing w:line="276" w:lineRule="auto"/>
              <w:rPr>
                <w:rFonts w:ascii="宋体" w:hAnsi="宋体"/>
                <w:bCs/>
                <w:color w:val="auto"/>
                <w:szCs w:val="21"/>
                <w:highlight w:val="none"/>
                <w:lang w:val="zh-CN"/>
              </w:rPr>
            </w:pPr>
            <w:r>
              <w:rPr>
                <w:rFonts w:hint="eastAsia" w:ascii="宋体" w:hAnsi="宋体"/>
                <w:color w:val="auto"/>
                <w:kern w:val="0"/>
                <w:szCs w:val="21"/>
                <w:highlight w:val="none"/>
              </w:rPr>
              <w:t>应满足下列要求：联合体资质按照联合体协议约定分工确定。</w:t>
            </w:r>
          </w:p>
        </w:tc>
      </w:tr>
      <w:tr w14:paraId="3B873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1105CEEE">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6</w:t>
            </w:r>
          </w:p>
        </w:tc>
        <w:tc>
          <w:tcPr>
            <w:tcW w:w="2268" w:type="dxa"/>
            <w:vAlign w:val="center"/>
          </w:tcPr>
          <w:p w14:paraId="5B06DF45">
            <w:pPr>
              <w:autoSpaceDE w:val="0"/>
              <w:autoSpaceDN w:val="0"/>
              <w:adjustRightInd w:val="0"/>
              <w:spacing w:line="276" w:lineRule="auto"/>
              <w:jc w:val="center"/>
              <w:rPr>
                <w:rFonts w:ascii="宋体" w:hAnsi="宋体"/>
                <w:bCs/>
                <w:color w:val="auto"/>
                <w:szCs w:val="21"/>
                <w:highlight w:val="none"/>
                <w:lang w:val="zh-CN"/>
              </w:rPr>
            </w:pPr>
            <w:r>
              <w:rPr>
                <w:rFonts w:hint="eastAsia" w:ascii="宋体" w:hAnsi="宋体" w:cs="微软雅黑"/>
                <w:b/>
                <w:color w:val="auto"/>
                <w:szCs w:val="21"/>
                <w:highlight w:val="none"/>
              </w:rPr>
              <w:t>★</w:t>
            </w:r>
            <w:r>
              <w:rPr>
                <w:rFonts w:hint="eastAsia" w:ascii="宋体" w:hAnsi="宋体"/>
                <w:bCs/>
                <w:color w:val="auto"/>
                <w:szCs w:val="21"/>
                <w:highlight w:val="none"/>
                <w:lang w:val="zh-CN"/>
              </w:rPr>
              <w:t>预算</w:t>
            </w:r>
            <w:r>
              <w:rPr>
                <w:rFonts w:hint="eastAsia" w:ascii="宋体" w:hAnsi="宋体"/>
                <w:bCs/>
                <w:color w:val="auto"/>
                <w:szCs w:val="21"/>
                <w:highlight w:val="none"/>
              </w:rPr>
              <w:t>金额</w:t>
            </w:r>
          </w:p>
        </w:tc>
        <w:tc>
          <w:tcPr>
            <w:tcW w:w="6804" w:type="dxa"/>
            <w:vAlign w:val="center"/>
          </w:tcPr>
          <w:p w14:paraId="17BF386B">
            <w:pPr>
              <w:pStyle w:val="26"/>
              <w:widowControl/>
              <w:shd w:val="clear" w:color="auto" w:fill="FFFFFF"/>
              <w:autoSpaceDE w:val="0"/>
              <w:autoSpaceDN w:val="0"/>
              <w:spacing w:line="360" w:lineRule="auto"/>
              <w:contextualSpacing/>
              <w:jc w:val="left"/>
              <w:rPr>
                <w:rFonts w:ascii="宋体" w:hAnsi="宋体"/>
                <w:bCs/>
                <w:color w:val="auto"/>
                <w:szCs w:val="21"/>
                <w:highlight w:val="none"/>
                <w:lang w:val="zh-CN"/>
              </w:rPr>
            </w:pPr>
            <w:r>
              <w:rPr>
                <w:rFonts w:hint="eastAsia" w:ascii="宋体" w:hAnsi="宋体" w:cs="仿宋_GB2312"/>
                <w:color w:val="auto"/>
                <w:sz w:val="21"/>
                <w:szCs w:val="21"/>
                <w:highlight w:val="none"/>
                <w:shd w:val="clear" w:color="auto" w:fill="FFFFFF"/>
                <w:lang w:val="en-US" w:eastAsia="zh-CN"/>
              </w:rPr>
              <w:t>77万</w:t>
            </w:r>
            <w:r>
              <w:rPr>
                <w:rFonts w:hint="eastAsia" w:ascii="宋体" w:hAnsi="宋体" w:cs="仿宋_GB2312"/>
                <w:color w:val="auto"/>
                <w:sz w:val="21"/>
                <w:szCs w:val="21"/>
                <w:highlight w:val="none"/>
                <w:shd w:val="clear" w:color="auto" w:fill="FFFFFF"/>
              </w:rPr>
              <w:t>元。</w:t>
            </w:r>
            <w:r>
              <w:rPr>
                <w:rFonts w:hint="eastAsia" w:ascii="宋体" w:hAnsi="宋体" w:cs="仿宋_GB2312"/>
                <w:color w:val="auto"/>
                <w:sz w:val="21"/>
                <w:szCs w:val="21"/>
                <w:highlight w:val="none"/>
                <w:shd w:val="clear" w:color="auto" w:fill="FFFFFF"/>
                <w:lang w:val="zh-CN"/>
              </w:rPr>
              <w:t>超出预算</w:t>
            </w:r>
            <w:r>
              <w:rPr>
                <w:rFonts w:hint="eastAsia" w:ascii="宋体" w:hAnsi="宋体" w:cs="仿宋_GB2312"/>
                <w:color w:val="auto"/>
                <w:sz w:val="21"/>
                <w:szCs w:val="21"/>
                <w:highlight w:val="none"/>
                <w:shd w:val="clear" w:color="auto" w:fill="FFFFFF"/>
              </w:rPr>
              <w:t>金额</w:t>
            </w:r>
            <w:r>
              <w:rPr>
                <w:rFonts w:hint="eastAsia" w:ascii="宋体" w:hAnsi="宋体" w:cs="仿宋_GB2312"/>
                <w:color w:val="auto"/>
                <w:sz w:val="21"/>
                <w:szCs w:val="21"/>
                <w:highlight w:val="none"/>
                <w:shd w:val="clear" w:color="auto" w:fill="FFFFFF"/>
                <w:lang w:val="zh-CN"/>
              </w:rPr>
              <w:t>的磋商响应无效。</w:t>
            </w:r>
          </w:p>
        </w:tc>
      </w:tr>
      <w:tr w14:paraId="6AF78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06" w:type="dxa"/>
            <w:vAlign w:val="center"/>
          </w:tcPr>
          <w:p w14:paraId="41B015DC">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7</w:t>
            </w:r>
          </w:p>
        </w:tc>
        <w:tc>
          <w:tcPr>
            <w:tcW w:w="2268" w:type="dxa"/>
            <w:vAlign w:val="center"/>
          </w:tcPr>
          <w:p w14:paraId="4EA48BC1">
            <w:pPr>
              <w:autoSpaceDE w:val="0"/>
              <w:autoSpaceDN w:val="0"/>
              <w:adjustRightInd w:val="0"/>
              <w:spacing w:line="276" w:lineRule="auto"/>
              <w:jc w:val="center"/>
              <w:rPr>
                <w:rFonts w:ascii="宋体" w:hAnsi="宋体"/>
                <w:bCs/>
                <w:color w:val="auto"/>
                <w:szCs w:val="21"/>
                <w:highlight w:val="none"/>
                <w:lang w:val="zh-CN"/>
              </w:rPr>
            </w:pPr>
            <w:r>
              <w:rPr>
                <w:rFonts w:ascii="宋体" w:hAnsi="宋体"/>
                <w:bCs/>
                <w:color w:val="auto"/>
                <w:szCs w:val="21"/>
                <w:highlight w:val="none"/>
                <w:lang w:val="zh-CN"/>
              </w:rPr>
              <w:t>现场考察</w:t>
            </w:r>
          </w:p>
        </w:tc>
        <w:tc>
          <w:tcPr>
            <w:tcW w:w="6804" w:type="dxa"/>
            <w:vAlign w:val="center"/>
          </w:tcPr>
          <w:p w14:paraId="62BE79FE">
            <w:pPr>
              <w:autoSpaceDE w:val="0"/>
              <w:autoSpaceDN w:val="0"/>
              <w:adjustRightInd w:val="0"/>
              <w:spacing w:line="360" w:lineRule="auto"/>
              <w:rPr>
                <w:rFonts w:ascii="宋体" w:hAnsi="宋体"/>
                <w:color w:val="auto"/>
                <w:kern w:val="0"/>
                <w:szCs w:val="21"/>
                <w:highlight w:val="none"/>
                <w:lang w:val="zh-CN"/>
              </w:rPr>
            </w:pP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hint="eastAsia" w:ascii="宋体" w:hAnsi="宋体"/>
                <w:b/>
                <w:color w:val="auto"/>
                <w:kern w:val="0"/>
                <w:position w:val="2"/>
                <w:szCs w:val="21"/>
                <w:highlight w:val="none"/>
                <w:lang w:val="zh-CN"/>
              </w:rPr>
              <w:instrText xml:space="preserve">√</w:instrText>
            </w:r>
            <w:r>
              <w:rPr>
                <w:rFonts w:hint="eastAsia" w:ascii="宋体" w:hAnsi="宋体"/>
                <w:b/>
                <w:color w:val="auto"/>
                <w:kern w:val="0"/>
                <w:szCs w:val="21"/>
                <w:highlight w:val="none"/>
                <w:lang w:val="zh-CN"/>
              </w:rPr>
              <w:instrText xml:space="preserve">)</w:instrText>
            </w:r>
            <w:r>
              <w:rPr>
                <w:rFonts w:ascii="宋体" w:hAnsi="宋体"/>
                <w:b/>
                <w:color w:val="auto"/>
                <w:kern w:val="0"/>
                <w:szCs w:val="21"/>
                <w:highlight w:val="none"/>
                <w:lang w:val="zh-CN"/>
              </w:rPr>
              <w:fldChar w:fldCharType="end"/>
            </w:r>
            <w:r>
              <w:rPr>
                <w:rFonts w:hint="eastAsia" w:ascii="宋体" w:hAnsi="宋体"/>
                <w:bCs/>
                <w:color w:val="auto"/>
                <w:szCs w:val="21"/>
                <w:highlight w:val="none"/>
                <w:lang w:val="zh-CN"/>
              </w:rPr>
              <w:t>不组织</w:t>
            </w:r>
          </w:p>
          <w:p w14:paraId="07565DB1">
            <w:pPr>
              <w:autoSpaceDE w:val="0"/>
              <w:autoSpaceDN w:val="0"/>
              <w:adjustRightInd w:val="0"/>
              <w:spacing w:line="360" w:lineRule="auto"/>
              <w:rPr>
                <w:rFonts w:ascii="宋体" w:hAnsi="宋体"/>
                <w:bCs/>
                <w:color w:val="auto"/>
                <w:szCs w:val="21"/>
                <w:highlight w:val="none"/>
                <w:lang w:val="zh-CN"/>
              </w:rPr>
            </w:pPr>
            <w:r>
              <w:rPr>
                <w:rFonts w:hint="eastAsia" w:ascii="宋体" w:hAnsi="宋体"/>
                <w:b/>
                <w:bCs/>
                <w:color w:val="auto"/>
                <w:szCs w:val="21"/>
                <w:highlight w:val="none"/>
                <w:lang w:val="zh-CN"/>
              </w:rPr>
              <w:t>□</w:t>
            </w:r>
            <w:r>
              <w:rPr>
                <w:rFonts w:hint="eastAsia" w:ascii="宋体" w:hAnsi="宋体"/>
                <w:bCs/>
                <w:color w:val="auto"/>
                <w:szCs w:val="21"/>
                <w:highlight w:val="none"/>
                <w:lang w:val="zh-CN"/>
              </w:rPr>
              <w:t>组织，时间：      地点：</w:t>
            </w:r>
          </w:p>
        </w:tc>
      </w:tr>
      <w:tr w14:paraId="78CCC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06" w:type="dxa"/>
            <w:vAlign w:val="center"/>
          </w:tcPr>
          <w:p w14:paraId="4C7C9E46">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8</w:t>
            </w:r>
          </w:p>
        </w:tc>
        <w:tc>
          <w:tcPr>
            <w:tcW w:w="2268" w:type="dxa"/>
            <w:vAlign w:val="center"/>
          </w:tcPr>
          <w:p w14:paraId="5D086872">
            <w:pPr>
              <w:autoSpaceDE w:val="0"/>
              <w:autoSpaceDN w:val="0"/>
              <w:adjustRightInd w:val="0"/>
              <w:spacing w:line="276"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磋商</w:t>
            </w:r>
            <w:r>
              <w:rPr>
                <w:rFonts w:ascii="宋体" w:hAnsi="宋体"/>
                <w:bCs/>
                <w:color w:val="auto"/>
                <w:szCs w:val="21"/>
                <w:highlight w:val="none"/>
                <w:lang w:val="zh-CN"/>
              </w:rPr>
              <w:t>前答疑会</w:t>
            </w:r>
          </w:p>
        </w:tc>
        <w:tc>
          <w:tcPr>
            <w:tcW w:w="6804" w:type="dxa"/>
            <w:vAlign w:val="center"/>
          </w:tcPr>
          <w:p w14:paraId="4CB61FCF">
            <w:pPr>
              <w:autoSpaceDE w:val="0"/>
              <w:autoSpaceDN w:val="0"/>
              <w:adjustRightInd w:val="0"/>
              <w:spacing w:line="360" w:lineRule="auto"/>
              <w:rPr>
                <w:rFonts w:ascii="宋体" w:hAnsi="宋体"/>
                <w:color w:val="auto"/>
                <w:kern w:val="0"/>
                <w:szCs w:val="21"/>
                <w:highlight w:val="none"/>
                <w:lang w:val="zh-CN"/>
              </w:rPr>
            </w:pP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hint="eastAsia" w:ascii="宋体" w:hAnsi="宋体"/>
                <w:b/>
                <w:color w:val="auto"/>
                <w:kern w:val="0"/>
                <w:position w:val="2"/>
                <w:szCs w:val="21"/>
                <w:highlight w:val="none"/>
                <w:lang w:val="zh-CN"/>
              </w:rPr>
              <w:instrText xml:space="preserve">√</w:instrText>
            </w:r>
            <w:r>
              <w:rPr>
                <w:rFonts w:hint="eastAsia" w:ascii="宋体" w:hAnsi="宋体"/>
                <w:b/>
                <w:color w:val="auto"/>
                <w:kern w:val="0"/>
                <w:szCs w:val="21"/>
                <w:highlight w:val="none"/>
                <w:lang w:val="zh-CN"/>
              </w:rPr>
              <w:instrText xml:space="preserve">)</w:instrText>
            </w:r>
            <w:r>
              <w:rPr>
                <w:rFonts w:ascii="宋体" w:hAnsi="宋体"/>
                <w:b/>
                <w:color w:val="auto"/>
                <w:kern w:val="0"/>
                <w:szCs w:val="21"/>
                <w:highlight w:val="none"/>
                <w:lang w:val="zh-CN"/>
              </w:rPr>
              <w:fldChar w:fldCharType="end"/>
            </w:r>
            <w:r>
              <w:rPr>
                <w:rFonts w:hint="eastAsia" w:ascii="宋体" w:hAnsi="宋体"/>
                <w:bCs/>
                <w:color w:val="auto"/>
                <w:szCs w:val="21"/>
                <w:highlight w:val="none"/>
                <w:lang w:val="zh-CN"/>
              </w:rPr>
              <w:t>不召开</w:t>
            </w:r>
          </w:p>
          <w:p w14:paraId="4E1F5A2F">
            <w:pPr>
              <w:autoSpaceDE w:val="0"/>
              <w:autoSpaceDN w:val="0"/>
              <w:adjustRightInd w:val="0"/>
              <w:spacing w:line="360" w:lineRule="auto"/>
              <w:rPr>
                <w:rFonts w:ascii="宋体" w:hAnsi="宋体"/>
                <w:bCs/>
                <w:color w:val="auto"/>
                <w:szCs w:val="21"/>
                <w:highlight w:val="none"/>
                <w:lang w:val="zh-CN"/>
              </w:rPr>
            </w:pPr>
            <w:r>
              <w:rPr>
                <w:rFonts w:hint="eastAsia" w:ascii="宋体" w:hAnsi="宋体"/>
                <w:bCs/>
                <w:color w:val="auto"/>
                <w:szCs w:val="21"/>
                <w:highlight w:val="none"/>
                <w:lang w:val="zh-CN"/>
              </w:rPr>
              <w:t>□召开，时间：      地点：</w:t>
            </w:r>
          </w:p>
        </w:tc>
      </w:tr>
      <w:tr w14:paraId="55225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06" w:type="dxa"/>
            <w:vAlign w:val="center"/>
          </w:tcPr>
          <w:p w14:paraId="41C0B4FF">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9</w:t>
            </w:r>
          </w:p>
        </w:tc>
        <w:tc>
          <w:tcPr>
            <w:tcW w:w="2268" w:type="dxa"/>
            <w:vAlign w:val="center"/>
          </w:tcPr>
          <w:p w14:paraId="76A0EE01">
            <w:pPr>
              <w:autoSpaceDE w:val="0"/>
              <w:autoSpaceDN w:val="0"/>
              <w:adjustRightInd w:val="0"/>
              <w:spacing w:line="276"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进口产品参与</w:t>
            </w:r>
          </w:p>
        </w:tc>
        <w:tc>
          <w:tcPr>
            <w:tcW w:w="6804" w:type="dxa"/>
            <w:vAlign w:val="center"/>
          </w:tcPr>
          <w:p w14:paraId="33C2CCE5">
            <w:pPr>
              <w:autoSpaceDE w:val="0"/>
              <w:autoSpaceDN w:val="0"/>
              <w:adjustRightInd w:val="0"/>
              <w:spacing w:line="360" w:lineRule="auto"/>
              <w:rPr>
                <w:rFonts w:ascii="宋体" w:hAnsi="宋体"/>
                <w:b/>
                <w:color w:val="auto"/>
                <w:kern w:val="0"/>
                <w:szCs w:val="21"/>
                <w:highlight w:val="none"/>
                <w:lang w:val="zh-CN"/>
              </w:rPr>
            </w:pP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hint="eastAsia" w:ascii="宋体" w:hAnsi="宋体"/>
                <w:b/>
                <w:color w:val="auto"/>
                <w:kern w:val="0"/>
                <w:position w:val="2"/>
                <w:szCs w:val="21"/>
                <w:highlight w:val="none"/>
                <w:lang w:val="zh-CN"/>
              </w:rPr>
              <w:instrText xml:space="preserve">√</w:instrText>
            </w:r>
            <w:r>
              <w:rPr>
                <w:rFonts w:hint="eastAsia" w:ascii="宋体" w:hAnsi="宋体"/>
                <w:b/>
                <w:color w:val="auto"/>
                <w:kern w:val="0"/>
                <w:szCs w:val="21"/>
                <w:highlight w:val="none"/>
                <w:lang w:val="zh-CN"/>
              </w:rPr>
              <w:instrText xml:space="preserve">)</w:instrText>
            </w:r>
            <w:r>
              <w:rPr>
                <w:rFonts w:ascii="宋体" w:hAnsi="宋体"/>
                <w:b/>
                <w:color w:val="auto"/>
                <w:kern w:val="0"/>
                <w:szCs w:val="21"/>
                <w:highlight w:val="none"/>
                <w:lang w:val="zh-CN"/>
              </w:rPr>
              <w:fldChar w:fldCharType="end"/>
            </w:r>
            <w:r>
              <w:rPr>
                <w:rFonts w:hint="eastAsia" w:ascii="宋体" w:hAnsi="宋体"/>
                <w:bCs/>
                <w:color w:val="auto"/>
                <w:szCs w:val="21"/>
                <w:highlight w:val="none"/>
                <w:lang w:val="zh-CN"/>
              </w:rPr>
              <w:t>不允许   □</w:t>
            </w:r>
            <w:r>
              <w:rPr>
                <w:rFonts w:hint="eastAsia" w:ascii="宋体" w:hAnsi="宋体" w:cs="仿宋_GB2312"/>
                <w:color w:val="auto"/>
                <w:szCs w:val="21"/>
                <w:highlight w:val="none"/>
              </w:rPr>
              <w:t>允许</w:t>
            </w:r>
          </w:p>
        </w:tc>
      </w:tr>
      <w:tr w14:paraId="76496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556F5C7D">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10</w:t>
            </w:r>
          </w:p>
        </w:tc>
        <w:tc>
          <w:tcPr>
            <w:tcW w:w="2268" w:type="dxa"/>
            <w:vAlign w:val="center"/>
          </w:tcPr>
          <w:p w14:paraId="578A2F18">
            <w:pPr>
              <w:autoSpaceDE w:val="0"/>
              <w:autoSpaceDN w:val="0"/>
              <w:adjustRightInd w:val="0"/>
              <w:spacing w:line="276" w:lineRule="auto"/>
              <w:jc w:val="center"/>
              <w:rPr>
                <w:rFonts w:ascii="宋体" w:hAnsi="宋体" w:cs="仿宋_GB2312"/>
                <w:color w:val="auto"/>
                <w:szCs w:val="21"/>
                <w:highlight w:val="none"/>
              </w:rPr>
            </w:pPr>
            <w:r>
              <w:rPr>
                <w:rFonts w:hint="eastAsia" w:ascii="宋体" w:hAnsi="宋体" w:cs="微软雅黑"/>
                <w:b/>
                <w:color w:val="auto"/>
                <w:szCs w:val="21"/>
                <w:highlight w:val="none"/>
              </w:rPr>
              <w:t>★</w:t>
            </w:r>
            <w:r>
              <w:rPr>
                <w:rFonts w:hint="eastAsia" w:ascii="宋体" w:hAnsi="宋体" w:cs="仿宋_GB2312"/>
                <w:color w:val="auto"/>
                <w:szCs w:val="21"/>
                <w:highlight w:val="none"/>
              </w:rPr>
              <w:t>磋商有效期</w:t>
            </w:r>
          </w:p>
        </w:tc>
        <w:tc>
          <w:tcPr>
            <w:tcW w:w="6804" w:type="dxa"/>
            <w:vAlign w:val="center"/>
          </w:tcPr>
          <w:p w14:paraId="08FFAD65">
            <w:pPr>
              <w:autoSpaceDE w:val="0"/>
              <w:autoSpaceDN w:val="0"/>
              <w:adjustRightInd w:val="0"/>
              <w:spacing w:line="360" w:lineRule="auto"/>
              <w:rPr>
                <w:rFonts w:ascii="宋体" w:hAnsi="宋体" w:cs="仿宋_GB2312"/>
                <w:color w:val="auto"/>
                <w:szCs w:val="21"/>
                <w:highlight w:val="none"/>
              </w:rPr>
            </w:pPr>
            <w:r>
              <w:rPr>
                <w:rFonts w:hint="eastAsia" w:ascii="宋体" w:hAnsi="宋体" w:cs="仿宋_GB2312"/>
                <w:color w:val="auto"/>
                <w:szCs w:val="21"/>
                <w:highlight w:val="none"/>
              </w:rPr>
              <w:t>60天（自</w:t>
            </w:r>
            <w:r>
              <w:rPr>
                <w:rFonts w:hint="eastAsia" w:ascii="宋体" w:hAnsi="宋体"/>
                <w:color w:val="auto"/>
                <w:kern w:val="0"/>
                <w:szCs w:val="21"/>
                <w:highlight w:val="none"/>
              </w:rPr>
              <w:t>提交磋商响应文件的截止之日起算</w:t>
            </w:r>
            <w:r>
              <w:rPr>
                <w:rFonts w:hint="eastAsia" w:ascii="宋体" w:hAnsi="宋体" w:cs="仿宋_GB2312"/>
                <w:color w:val="auto"/>
                <w:szCs w:val="21"/>
                <w:highlight w:val="none"/>
              </w:rPr>
              <w:t>）</w:t>
            </w:r>
          </w:p>
          <w:p w14:paraId="171F3CAD">
            <w:pPr>
              <w:autoSpaceDE w:val="0"/>
              <w:autoSpaceDN w:val="0"/>
              <w:adjustRightInd w:val="0"/>
              <w:spacing w:line="360" w:lineRule="auto"/>
              <w:rPr>
                <w:rFonts w:ascii="宋体" w:hAnsi="宋体" w:cs="仿宋_GB2312"/>
                <w:color w:val="auto"/>
                <w:szCs w:val="21"/>
                <w:highlight w:val="none"/>
              </w:rPr>
            </w:pPr>
            <w:r>
              <w:rPr>
                <w:rFonts w:hint="eastAsia" w:ascii="宋体" w:hAnsi="宋体" w:cs="仿宋_GB2312"/>
                <w:color w:val="auto"/>
                <w:szCs w:val="21"/>
                <w:highlight w:val="none"/>
                <w:lang w:val="zh-CN"/>
              </w:rPr>
              <w:t>成交供应商磋商</w:t>
            </w:r>
            <w:r>
              <w:rPr>
                <w:rFonts w:ascii="宋体" w:hAnsi="宋体" w:cs="仿宋_GB2312"/>
                <w:color w:val="auto"/>
                <w:szCs w:val="21"/>
                <w:highlight w:val="none"/>
                <w:lang w:val="zh-CN"/>
              </w:rPr>
              <w:t>有效期延</w:t>
            </w:r>
            <w:r>
              <w:rPr>
                <w:rFonts w:hint="eastAsia" w:ascii="宋体" w:hAnsi="宋体" w:cs="仿宋_GB2312"/>
                <w:color w:val="auto"/>
                <w:szCs w:val="21"/>
                <w:highlight w:val="none"/>
                <w:lang w:val="zh-CN"/>
              </w:rPr>
              <w:t>至合同</w:t>
            </w:r>
            <w:r>
              <w:rPr>
                <w:rFonts w:ascii="宋体" w:hAnsi="宋体" w:cs="仿宋_GB2312"/>
                <w:color w:val="auto"/>
                <w:szCs w:val="21"/>
                <w:highlight w:val="none"/>
                <w:lang w:val="zh-CN"/>
              </w:rPr>
              <w:t>验收之日</w:t>
            </w:r>
            <w:r>
              <w:rPr>
                <w:rFonts w:hint="eastAsia" w:ascii="宋体" w:hAnsi="宋体" w:cs="仿宋_GB2312"/>
                <w:color w:val="auto"/>
                <w:szCs w:val="21"/>
                <w:highlight w:val="none"/>
                <w:lang w:val="zh-CN"/>
              </w:rPr>
              <w:t>，</w:t>
            </w:r>
            <w:r>
              <w:rPr>
                <w:rFonts w:hint="eastAsia" w:ascii="宋体" w:hAnsi="宋体"/>
                <w:color w:val="auto"/>
                <w:kern w:val="0"/>
                <w:szCs w:val="21"/>
                <w:highlight w:val="none"/>
              </w:rPr>
              <w:t>成交供应商全部合同义务履行完毕为止。</w:t>
            </w:r>
          </w:p>
        </w:tc>
      </w:tr>
      <w:tr w14:paraId="43A8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785F9DE0">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11</w:t>
            </w:r>
          </w:p>
        </w:tc>
        <w:tc>
          <w:tcPr>
            <w:tcW w:w="2268" w:type="dxa"/>
            <w:vAlign w:val="center"/>
          </w:tcPr>
          <w:p w14:paraId="1ABDA2E8">
            <w:pPr>
              <w:autoSpaceDE w:val="0"/>
              <w:autoSpaceDN w:val="0"/>
              <w:adjustRightInd w:val="0"/>
              <w:spacing w:line="360" w:lineRule="auto"/>
              <w:rPr>
                <w:rFonts w:ascii="宋体" w:hAnsi="宋体" w:cs="仿宋_GB2312"/>
                <w:color w:val="auto"/>
                <w:szCs w:val="21"/>
                <w:highlight w:val="none"/>
              </w:rPr>
            </w:pPr>
            <w:r>
              <w:rPr>
                <w:rFonts w:hint="eastAsia" w:ascii="宋体" w:hAnsi="宋体"/>
                <w:bCs/>
                <w:color w:val="auto"/>
                <w:szCs w:val="21"/>
                <w:highlight w:val="none"/>
                <w:lang w:val="zh-CN"/>
              </w:rPr>
              <w:t>成交供应商</w:t>
            </w:r>
            <w:r>
              <w:rPr>
                <w:rFonts w:ascii="宋体" w:hAnsi="宋体"/>
                <w:bCs/>
                <w:color w:val="auto"/>
                <w:szCs w:val="21"/>
                <w:highlight w:val="none"/>
                <w:lang w:val="zh-CN"/>
              </w:rPr>
              <w:t>将本项目非主体、非关键性工作分包</w:t>
            </w:r>
          </w:p>
        </w:tc>
        <w:tc>
          <w:tcPr>
            <w:tcW w:w="6804" w:type="dxa"/>
            <w:vAlign w:val="center"/>
          </w:tcPr>
          <w:p w14:paraId="69E63085">
            <w:pPr>
              <w:autoSpaceDE w:val="0"/>
              <w:autoSpaceDN w:val="0"/>
              <w:adjustRightInd w:val="0"/>
              <w:spacing w:line="276" w:lineRule="auto"/>
              <w:rPr>
                <w:rFonts w:ascii="宋体" w:hAnsi="宋体" w:cs="仿宋_GB2312"/>
                <w:color w:val="auto"/>
                <w:szCs w:val="21"/>
                <w:highlight w:val="none"/>
              </w:rPr>
            </w:pP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hint="eastAsia" w:ascii="宋体" w:hAnsi="宋体"/>
                <w:b/>
                <w:color w:val="auto"/>
                <w:kern w:val="0"/>
                <w:position w:val="2"/>
                <w:szCs w:val="21"/>
                <w:highlight w:val="none"/>
                <w:lang w:val="zh-CN"/>
              </w:rPr>
              <w:instrText xml:space="preserve">√</w:instrText>
            </w:r>
            <w:r>
              <w:rPr>
                <w:rFonts w:hint="eastAsia" w:ascii="宋体" w:hAnsi="宋体"/>
                <w:b/>
                <w:color w:val="auto"/>
                <w:kern w:val="0"/>
                <w:szCs w:val="21"/>
                <w:highlight w:val="none"/>
                <w:lang w:val="zh-CN"/>
              </w:rPr>
              <w:instrText xml:space="preserve">)</w:instrText>
            </w:r>
            <w:r>
              <w:rPr>
                <w:rFonts w:ascii="宋体" w:hAnsi="宋体"/>
                <w:b/>
                <w:color w:val="auto"/>
                <w:kern w:val="0"/>
                <w:szCs w:val="21"/>
                <w:highlight w:val="none"/>
                <w:lang w:val="zh-CN"/>
              </w:rPr>
              <w:fldChar w:fldCharType="end"/>
            </w:r>
            <w:r>
              <w:rPr>
                <w:rFonts w:hint="eastAsia" w:ascii="宋体" w:hAnsi="宋体"/>
                <w:bCs/>
                <w:color w:val="auto"/>
                <w:szCs w:val="21"/>
                <w:highlight w:val="none"/>
                <w:lang w:val="zh-CN"/>
              </w:rPr>
              <w:t xml:space="preserve">不允许   </w:t>
            </w:r>
            <w:r>
              <w:rPr>
                <w:rFonts w:hint="eastAsia" w:ascii="宋体" w:hAnsi="宋体"/>
                <w:b/>
                <w:bCs/>
                <w:color w:val="auto"/>
                <w:szCs w:val="21"/>
                <w:highlight w:val="none"/>
                <w:lang w:val="zh-CN"/>
              </w:rPr>
              <w:t>□</w:t>
            </w:r>
            <w:r>
              <w:rPr>
                <w:rFonts w:hint="eastAsia" w:ascii="宋体" w:hAnsi="宋体" w:cs="仿宋_GB2312"/>
                <w:color w:val="auto"/>
                <w:szCs w:val="21"/>
                <w:highlight w:val="none"/>
              </w:rPr>
              <w:t>允许</w:t>
            </w:r>
          </w:p>
        </w:tc>
      </w:tr>
      <w:tr w14:paraId="46452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3C13DE22">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12</w:t>
            </w:r>
          </w:p>
        </w:tc>
        <w:tc>
          <w:tcPr>
            <w:tcW w:w="2268" w:type="dxa"/>
            <w:vAlign w:val="center"/>
          </w:tcPr>
          <w:p w14:paraId="6A217A76">
            <w:pPr>
              <w:autoSpaceDE w:val="0"/>
              <w:autoSpaceDN w:val="0"/>
              <w:adjustRightInd w:val="0"/>
              <w:spacing w:line="360"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响应文件提交截止及磋商响应截止时间、磋商时间</w:t>
            </w:r>
          </w:p>
        </w:tc>
        <w:tc>
          <w:tcPr>
            <w:tcW w:w="6804" w:type="dxa"/>
            <w:vAlign w:val="center"/>
          </w:tcPr>
          <w:p w14:paraId="42967DA7">
            <w:pPr>
              <w:autoSpaceDE w:val="0"/>
              <w:autoSpaceDN w:val="0"/>
              <w:adjustRightInd w:val="0"/>
              <w:spacing w:line="360" w:lineRule="auto"/>
              <w:rPr>
                <w:rFonts w:ascii="宋体" w:hAnsi="宋体"/>
                <w:bCs/>
                <w:color w:val="auto"/>
                <w:szCs w:val="21"/>
                <w:highlight w:val="none"/>
                <w:lang w:val="zh-CN"/>
              </w:rPr>
            </w:pPr>
            <w:r>
              <w:rPr>
                <w:rFonts w:hint="eastAsia" w:ascii="宋体" w:hAnsi="宋体"/>
                <w:bCs/>
                <w:color w:val="auto"/>
                <w:szCs w:val="21"/>
                <w:highlight w:val="none"/>
                <w:lang w:val="zh-CN"/>
              </w:rPr>
              <w:t>202</w:t>
            </w:r>
            <w:r>
              <w:rPr>
                <w:rFonts w:hint="eastAsia" w:ascii="宋体" w:hAnsi="宋体"/>
                <w:bCs/>
                <w:color w:val="auto"/>
                <w:szCs w:val="21"/>
                <w:highlight w:val="none"/>
                <w:lang w:val="en-US" w:eastAsia="zh-CN"/>
              </w:rPr>
              <w:t>4</w:t>
            </w:r>
            <w:r>
              <w:rPr>
                <w:rFonts w:hint="eastAsia" w:ascii="宋体" w:hAnsi="宋体"/>
                <w:bCs/>
                <w:color w:val="auto"/>
                <w:szCs w:val="21"/>
                <w:highlight w:val="none"/>
                <w:lang w:val="zh-CN"/>
              </w:rPr>
              <w:t>年</w:t>
            </w:r>
            <w:r>
              <w:rPr>
                <w:rFonts w:hint="eastAsia" w:ascii="宋体" w:hAnsi="宋体"/>
                <w:bCs/>
                <w:color w:val="auto"/>
                <w:szCs w:val="21"/>
                <w:highlight w:val="none"/>
                <w:lang w:val="en-US" w:eastAsia="zh-CN"/>
              </w:rPr>
              <w:t xml:space="preserve"> 9 </w:t>
            </w:r>
            <w:r>
              <w:rPr>
                <w:rFonts w:hint="eastAsia" w:ascii="宋体" w:hAnsi="宋体"/>
                <w:bCs/>
                <w:color w:val="auto"/>
                <w:szCs w:val="21"/>
                <w:highlight w:val="none"/>
                <w:lang w:val="zh-CN"/>
              </w:rPr>
              <w:t>月</w:t>
            </w:r>
            <w:r>
              <w:rPr>
                <w:rFonts w:hint="eastAsia" w:ascii="宋体" w:hAnsi="宋体"/>
                <w:bCs/>
                <w:color w:val="auto"/>
                <w:szCs w:val="21"/>
                <w:highlight w:val="none"/>
                <w:lang w:val="en-US" w:eastAsia="zh-CN"/>
              </w:rPr>
              <w:t xml:space="preserve"> 30 </w:t>
            </w:r>
            <w:r>
              <w:rPr>
                <w:rFonts w:hint="eastAsia" w:ascii="宋体" w:hAnsi="宋体"/>
                <w:bCs/>
                <w:color w:val="auto"/>
                <w:szCs w:val="21"/>
                <w:highlight w:val="none"/>
                <w:lang w:val="zh-CN"/>
              </w:rPr>
              <w:t>日</w:t>
            </w:r>
            <w:r>
              <w:rPr>
                <w:rFonts w:hint="eastAsia" w:ascii="宋体" w:hAnsi="宋体"/>
                <w:bCs/>
                <w:color w:val="auto"/>
                <w:szCs w:val="21"/>
                <w:highlight w:val="none"/>
                <w:lang w:val="en-US" w:eastAsia="zh-CN"/>
              </w:rPr>
              <w:t xml:space="preserve"> 14 </w:t>
            </w:r>
            <w:r>
              <w:rPr>
                <w:rFonts w:hint="eastAsia" w:ascii="宋体" w:hAnsi="宋体"/>
                <w:bCs/>
                <w:color w:val="auto"/>
                <w:szCs w:val="21"/>
                <w:highlight w:val="none"/>
                <w:lang w:val="zh-CN"/>
              </w:rPr>
              <w:t>时</w:t>
            </w:r>
            <w:r>
              <w:rPr>
                <w:rFonts w:hint="eastAsia" w:ascii="宋体" w:hAnsi="宋体"/>
                <w:bCs/>
                <w:color w:val="auto"/>
                <w:szCs w:val="21"/>
                <w:highlight w:val="none"/>
              </w:rPr>
              <w:t>0</w:t>
            </w:r>
            <w:r>
              <w:rPr>
                <w:rFonts w:hint="eastAsia" w:ascii="宋体" w:hAnsi="宋体"/>
                <w:bCs/>
                <w:color w:val="auto"/>
                <w:szCs w:val="21"/>
                <w:highlight w:val="none"/>
                <w:lang w:val="zh-CN"/>
              </w:rPr>
              <w:t>0分（北京时间）</w:t>
            </w:r>
          </w:p>
        </w:tc>
      </w:tr>
      <w:tr w14:paraId="30C10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506E7318">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13</w:t>
            </w:r>
          </w:p>
        </w:tc>
        <w:tc>
          <w:tcPr>
            <w:tcW w:w="2268" w:type="dxa"/>
            <w:vAlign w:val="center"/>
          </w:tcPr>
          <w:p w14:paraId="47F348CE">
            <w:pPr>
              <w:autoSpaceDE w:val="0"/>
              <w:autoSpaceDN w:val="0"/>
              <w:adjustRightInd w:val="0"/>
              <w:spacing w:line="360" w:lineRule="auto"/>
              <w:jc w:val="center"/>
              <w:rPr>
                <w:rFonts w:ascii="宋体" w:hAnsi="宋体" w:cs="黑体"/>
                <w:color w:val="auto"/>
                <w:szCs w:val="21"/>
                <w:highlight w:val="none"/>
              </w:rPr>
            </w:pPr>
            <w:r>
              <w:rPr>
                <w:rFonts w:hint="eastAsia" w:ascii="宋体" w:hAnsi="宋体" w:cs="黑体"/>
                <w:color w:val="auto"/>
                <w:szCs w:val="21"/>
                <w:highlight w:val="none"/>
              </w:rPr>
              <w:t>响应文件提交及</w:t>
            </w:r>
          </w:p>
          <w:p w14:paraId="38AA6950">
            <w:pPr>
              <w:autoSpaceDE w:val="0"/>
              <w:autoSpaceDN w:val="0"/>
              <w:adjustRightInd w:val="0"/>
              <w:spacing w:line="360" w:lineRule="auto"/>
              <w:jc w:val="center"/>
              <w:rPr>
                <w:rFonts w:ascii="宋体" w:hAnsi="宋体" w:cs="黑体"/>
                <w:color w:val="auto"/>
                <w:szCs w:val="21"/>
                <w:highlight w:val="none"/>
              </w:rPr>
            </w:pPr>
            <w:r>
              <w:rPr>
                <w:rFonts w:hint="eastAsia" w:ascii="宋体" w:hAnsi="宋体" w:cs="黑体"/>
                <w:color w:val="auto"/>
                <w:szCs w:val="21"/>
                <w:highlight w:val="none"/>
              </w:rPr>
              <w:t>开启地点、磋商地点</w:t>
            </w:r>
          </w:p>
        </w:tc>
        <w:tc>
          <w:tcPr>
            <w:tcW w:w="6804" w:type="dxa"/>
            <w:vAlign w:val="center"/>
          </w:tcPr>
          <w:p w14:paraId="2CD32B7E">
            <w:pPr>
              <w:tabs>
                <w:tab w:val="left" w:pos="1260"/>
              </w:tabs>
              <w:autoSpaceDE w:val="0"/>
              <w:autoSpaceDN w:val="0"/>
              <w:adjustRightInd w:val="0"/>
              <w:spacing w:line="360" w:lineRule="auto"/>
              <w:contextualSpacing/>
              <w:rPr>
                <w:rFonts w:ascii="宋体" w:hAnsi="宋体"/>
                <w:bCs/>
                <w:color w:val="auto"/>
                <w:szCs w:val="21"/>
                <w:highlight w:val="none"/>
                <w:lang w:val="zh-CN"/>
              </w:rPr>
            </w:pPr>
            <w:r>
              <w:rPr>
                <w:rFonts w:hint="eastAsia" w:ascii="宋体" w:hAnsi="宋体" w:cs="仿宋_GB2312"/>
                <w:color w:val="auto"/>
                <w:szCs w:val="21"/>
                <w:highlight w:val="none"/>
                <w:lang w:val="zh-CN"/>
              </w:rPr>
              <w:t>磋商响应文件开启地点：许昌市智慧信息产业园综合楼四楼开标室。</w:t>
            </w:r>
            <w:r>
              <w:rPr>
                <w:rFonts w:hint="eastAsia" w:cs="仿宋_GB2312" w:asciiTheme="minorEastAsia" w:hAnsiTheme="minorEastAsia"/>
                <w:szCs w:val="21"/>
                <w:highlight w:val="none"/>
              </w:rPr>
              <w:t>（</w:t>
            </w:r>
            <w:r>
              <w:rPr>
                <w:rFonts w:hint="eastAsia" w:cs="Arial" w:asciiTheme="minorEastAsia" w:hAnsiTheme="minorEastAsia"/>
                <w:b/>
                <w:szCs w:val="21"/>
                <w:highlight w:val="none"/>
              </w:rPr>
              <w:t>本项目采用远程不见面磋商，供应商无须到达现场</w:t>
            </w:r>
            <w:r>
              <w:rPr>
                <w:rFonts w:hint="eastAsia" w:cs="Arial" w:asciiTheme="minorEastAsia" w:hAnsiTheme="minorEastAsia"/>
                <w:szCs w:val="21"/>
                <w:highlight w:val="none"/>
              </w:rPr>
              <w:t>）</w:t>
            </w:r>
          </w:p>
        </w:tc>
      </w:tr>
      <w:tr w14:paraId="6BC64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806" w:type="dxa"/>
            <w:vAlign w:val="center"/>
          </w:tcPr>
          <w:p w14:paraId="74141B83">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14</w:t>
            </w:r>
          </w:p>
        </w:tc>
        <w:tc>
          <w:tcPr>
            <w:tcW w:w="2268" w:type="dxa"/>
            <w:vAlign w:val="center"/>
          </w:tcPr>
          <w:p w14:paraId="19E998FC">
            <w:pPr>
              <w:autoSpaceDE w:val="0"/>
              <w:autoSpaceDN w:val="0"/>
              <w:adjustRightInd w:val="0"/>
              <w:spacing w:line="276" w:lineRule="auto"/>
              <w:jc w:val="center"/>
              <w:rPr>
                <w:rFonts w:ascii="宋体" w:hAnsi="宋体"/>
                <w:bCs/>
                <w:color w:val="auto"/>
                <w:szCs w:val="21"/>
                <w:highlight w:val="none"/>
                <w:lang w:val="zh-CN"/>
              </w:rPr>
            </w:pPr>
            <w:r>
              <w:rPr>
                <w:rFonts w:hint="eastAsia" w:ascii="宋体" w:hAnsi="宋体"/>
                <w:color w:val="auto"/>
                <w:kern w:val="0"/>
                <w:szCs w:val="21"/>
                <w:highlight w:val="none"/>
              </w:rPr>
              <w:t>磋商保证金</w:t>
            </w:r>
          </w:p>
        </w:tc>
        <w:tc>
          <w:tcPr>
            <w:tcW w:w="6804" w:type="dxa"/>
            <w:vAlign w:val="center"/>
          </w:tcPr>
          <w:p w14:paraId="779E2C8F">
            <w:pPr>
              <w:tabs>
                <w:tab w:val="left" w:pos="1260"/>
              </w:tabs>
              <w:autoSpaceDE w:val="0"/>
              <w:autoSpaceDN w:val="0"/>
              <w:adjustRightInd w:val="0"/>
              <w:spacing w:line="360" w:lineRule="auto"/>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本项目不收取。</w:t>
            </w:r>
          </w:p>
        </w:tc>
      </w:tr>
      <w:tr w14:paraId="17641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806" w:type="dxa"/>
            <w:vAlign w:val="center"/>
          </w:tcPr>
          <w:p w14:paraId="462B26C7">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15</w:t>
            </w:r>
          </w:p>
        </w:tc>
        <w:tc>
          <w:tcPr>
            <w:tcW w:w="2268" w:type="dxa"/>
            <w:vAlign w:val="center"/>
          </w:tcPr>
          <w:p w14:paraId="26B6E36C">
            <w:pPr>
              <w:autoSpaceDE w:val="0"/>
              <w:autoSpaceDN w:val="0"/>
              <w:adjustRightInd w:val="0"/>
              <w:spacing w:line="276" w:lineRule="auto"/>
              <w:jc w:val="center"/>
              <w:rPr>
                <w:rFonts w:ascii="宋体" w:hAnsi="宋体" w:cs="仿宋_GB2312"/>
                <w:color w:val="auto"/>
                <w:szCs w:val="21"/>
                <w:highlight w:val="none"/>
              </w:rPr>
            </w:pPr>
            <w:r>
              <w:rPr>
                <w:rFonts w:hint="eastAsia" w:ascii="宋体" w:hAnsi="宋体" w:cs="仿宋_GB2312"/>
                <w:color w:val="auto"/>
                <w:szCs w:val="21"/>
                <w:highlight w:val="none"/>
              </w:rPr>
              <w:t>公告发布</w:t>
            </w:r>
          </w:p>
        </w:tc>
        <w:tc>
          <w:tcPr>
            <w:tcW w:w="6804" w:type="dxa"/>
            <w:tcBorders>
              <w:top w:val="single" w:color="auto" w:sz="4" w:space="0"/>
            </w:tcBorders>
            <w:vAlign w:val="center"/>
          </w:tcPr>
          <w:p w14:paraId="7D31C61B">
            <w:pPr>
              <w:autoSpaceDE w:val="0"/>
              <w:autoSpaceDN w:val="0"/>
              <w:adjustRightInd w:val="0"/>
              <w:spacing w:line="360" w:lineRule="auto"/>
              <w:rPr>
                <w:rFonts w:ascii="宋体" w:hAnsi="宋体"/>
                <w:bCs/>
                <w:color w:val="auto"/>
                <w:szCs w:val="21"/>
                <w:highlight w:val="none"/>
              </w:rPr>
            </w:pPr>
            <w:r>
              <w:rPr>
                <w:rFonts w:hint="eastAsia" w:ascii="宋体" w:hAnsi="宋体"/>
                <w:color w:val="auto"/>
                <w:szCs w:val="21"/>
                <w:highlight w:val="none"/>
              </w:rPr>
              <w:t>磋商公告、成交公告、变更（更正）公告、现场勘察答复等相关信息同时在以下网站发布：《中国招标投标公共服务平台》、《新点交易平台》、《河南省电子招标投标公共服务平台》、许昌市投资集团有限公司官网</w:t>
            </w:r>
          </w:p>
        </w:tc>
      </w:tr>
      <w:tr w14:paraId="231B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5A55A210">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16</w:t>
            </w:r>
          </w:p>
        </w:tc>
        <w:tc>
          <w:tcPr>
            <w:tcW w:w="2268" w:type="dxa"/>
            <w:vAlign w:val="center"/>
          </w:tcPr>
          <w:p w14:paraId="416AAB37">
            <w:pPr>
              <w:autoSpaceDE w:val="0"/>
              <w:autoSpaceDN w:val="0"/>
              <w:adjustRightInd w:val="0"/>
              <w:spacing w:line="360" w:lineRule="auto"/>
              <w:jc w:val="center"/>
              <w:rPr>
                <w:rFonts w:ascii="宋体" w:hAnsi="宋体" w:cs="仿宋_GB2312"/>
                <w:color w:val="auto"/>
                <w:szCs w:val="21"/>
                <w:highlight w:val="none"/>
              </w:rPr>
            </w:pPr>
            <w:r>
              <w:rPr>
                <w:rFonts w:hint="eastAsia" w:ascii="宋体" w:hAnsi="宋体" w:cs="仿宋_GB2312"/>
                <w:color w:val="auto"/>
                <w:szCs w:val="21"/>
                <w:highlight w:val="none"/>
              </w:rPr>
              <w:t>采购人澄清或修改</w:t>
            </w:r>
          </w:p>
          <w:p w14:paraId="0F8F6D6D">
            <w:pPr>
              <w:autoSpaceDE w:val="0"/>
              <w:autoSpaceDN w:val="0"/>
              <w:adjustRightInd w:val="0"/>
              <w:spacing w:line="360" w:lineRule="auto"/>
              <w:jc w:val="center"/>
              <w:rPr>
                <w:rFonts w:ascii="宋体" w:hAnsi="宋体" w:cs="黑体"/>
                <w:color w:val="auto"/>
                <w:szCs w:val="21"/>
                <w:highlight w:val="none"/>
              </w:rPr>
            </w:pPr>
            <w:r>
              <w:rPr>
                <w:rFonts w:hint="eastAsia" w:ascii="宋体" w:hAnsi="宋体" w:cs="仿宋_GB2312"/>
                <w:color w:val="auto"/>
                <w:szCs w:val="21"/>
                <w:highlight w:val="none"/>
              </w:rPr>
              <w:t>磋商文件时间</w:t>
            </w:r>
          </w:p>
        </w:tc>
        <w:tc>
          <w:tcPr>
            <w:tcW w:w="6804" w:type="dxa"/>
            <w:vAlign w:val="center"/>
          </w:tcPr>
          <w:p w14:paraId="1A9D7597">
            <w:pPr>
              <w:autoSpaceDE w:val="0"/>
              <w:autoSpaceDN w:val="0"/>
              <w:adjustRightInd w:val="0"/>
              <w:spacing w:line="360" w:lineRule="auto"/>
              <w:rPr>
                <w:rFonts w:ascii="宋体" w:hAnsi="宋体"/>
                <w:bCs/>
                <w:color w:val="auto"/>
                <w:szCs w:val="21"/>
                <w:highlight w:val="none"/>
                <w:lang w:val="zh-CN"/>
              </w:rPr>
            </w:pPr>
            <w:r>
              <w:rPr>
                <w:rFonts w:hint="eastAsia" w:ascii="宋体" w:hAnsi="宋体"/>
                <w:bCs/>
                <w:color w:val="auto"/>
                <w:szCs w:val="21"/>
                <w:highlight w:val="none"/>
                <w:lang w:val="zh-CN"/>
              </w:rPr>
              <w:t>磋商响应截止时间5日前（</w:t>
            </w:r>
            <w:r>
              <w:rPr>
                <w:rFonts w:hint="eastAsia" w:ascii="宋体" w:hAnsi="宋体" w:cs="仿宋_GB2312"/>
                <w:color w:val="auto"/>
                <w:szCs w:val="21"/>
                <w:highlight w:val="none"/>
                <w:lang w:val="zh-CN"/>
              </w:rPr>
              <w:t>澄清内容可能影响响应文件编制的）</w:t>
            </w:r>
          </w:p>
        </w:tc>
      </w:tr>
      <w:tr w14:paraId="68CC9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72E19FF3">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17</w:t>
            </w:r>
          </w:p>
        </w:tc>
        <w:tc>
          <w:tcPr>
            <w:tcW w:w="2268" w:type="dxa"/>
            <w:vAlign w:val="center"/>
          </w:tcPr>
          <w:p w14:paraId="64332400">
            <w:pPr>
              <w:autoSpaceDE w:val="0"/>
              <w:autoSpaceDN w:val="0"/>
              <w:adjustRightInd w:val="0"/>
              <w:spacing w:line="360" w:lineRule="auto"/>
              <w:jc w:val="center"/>
              <w:rPr>
                <w:rFonts w:ascii="宋体" w:hAnsi="宋体" w:cs="黑体"/>
                <w:color w:val="auto"/>
                <w:szCs w:val="21"/>
                <w:highlight w:val="none"/>
              </w:rPr>
            </w:pPr>
            <w:r>
              <w:rPr>
                <w:rFonts w:hint="eastAsia" w:ascii="宋体" w:hAnsi="宋体" w:cs="黑体"/>
                <w:color w:val="auto"/>
                <w:szCs w:val="21"/>
                <w:highlight w:val="none"/>
              </w:rPr>
              <w:t>供应商对磋商文件</w:t>
            </w:r>
          </w:p>
          <w:p w14:paraId="16FABE77">
            <w:pPr>
              <w:autoSpaceDE w:val="0"/>
              <w:autoSpaceDN w:val="0"/>
              <w:adjustRightInd w:val="0"/>
              <w:spacing w:line="360" w:lineRule="auto"/>
              <w:jc w:val="center"/>
              <w:rPr>
                <w:rFonts w:ascii="宋体" w:hAnsi="宋体" w:cs="黑体"/>
                <w:color w:val="auto"/>
                <w:szCs w:val="21"/>
                <w:highlight w:val="none"/>
              </w:rPr>
            </w:pPr>
            <w:r>
              <w:rPr>
                <w:rFonts w:hint="eastAsia" w:ascii="宋体" w:hAnsi="宋体" w:cs="黑体"/>
                <w:color w:val="auto"/>
                <w:szCs w:val="21"/>
                <w:highlight w:val="none"/>
              </w:rPr>
              <w:t>质疑截止时间</w:t>
            </w:r>
          </w:p>
        </w:tc>
        <w:tc>
          <w:tcPr>
            <w:tcW w:w="6804" w:type="dxa"/>
            <w:vAlign w:val="center"/>
          </w:tcPr>
          <w:p w14:paraId="5BCF88B8">
            <w:pPr>
              <w:autoSpaceDE w:val="0"/>
              <w:autoSpaceDN w:val="0"/>
              <w:adjustRightInd w:val="0"/>
              <w:spacing w:line="360" w:lineRule="auto"/>
              <w:rPr>
                <w:rFonts w:ascii="宋体" w:hAnsi="宋体"/>
                <w:bCs/>
                <w:color w:val="auto"/>
                <w:szCs w:val="21"/>
                <w:highlight w:val="none"/>
                <w:lang w:val="zh-CN"/>
              </w:rPr>
            </w:pPr>
            <w:r>
              <w:rPr>
                <w:rFonts w:hint="eastAsia" w:ascii="宋体" w:hAnsi="宋体"/>
                <w:bCs/>
                <w:color w:val="auto"/>
                <w:szCs w:val="21"/>
                <w:highlight w:val="none"/>
                <w:lang w:val="zh-CN"/>
              </w:rPr>
              <w:t>磋商公告期满之日起七个工作日</w:t>
            </w:r>
          </w:p>
        </w:tc>
      </w:tr>
      <w:tr w14:paraId="4B035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606460D0">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18</w:t>
            </w:r>
          </w:p>
        </w:tc>
        <w:tc>
          <w:tcPr>
            <w:tcW w:w="2268" w:type="dxa"/>
            <w:vAlign w:val="center"/>
          </w:tcPr>
          <w:p w14:paraId="3BE405D8">
            <w:pPr>
              <w:autoSpaceDE w:val="0"/>
              <w:autoSpaceDN w:val="0"/>
              <w:adjustRightInd w:val="0"/>
              <w:spacing w:line="360" w:lineRule="auto"/>
              <w:jc w:val="center"/>
              <w:rPr>
                <w:rFonts w:ascii="宋体" w:hAnsi="宋体" w:cs="仿宋_GB2312"/>
                <w:color w:val="auto"/>
                <w:szCs w:val="21"/>
                <w:highlight w:val="none"/>
              </w:rPr>
            </w:pPr>
            <w:r>
              <w:rPr>
                <w:rFonts w:hint="eastAsia" w:ascii="宋体" w:hAnsi="宋体" w:cs="仿宋_GB2312"/>
                <w:color w:val="auto"/>
                <w:szCs w:val="21"/>
                <w:highlight w:val="none"/>
              </w:rPr>
              <w:t>投标文件份数</w:t>
            </w:r>
          </w:p>
        </w:tc>
        <w:tc>
          <w:tcPr>
            <w:tcW w:w="6804" w:type="dxa"/>
            <w:vAlign w:val="center"/>
          </w:tcPr>
          <w:p w14:paraId="662AA993">
            <w:pPr>
              <w:autoSpaceDE w:val="0"/>
              <w:autoSpaceDN w:val="0"/>
              <w:adjustRightInd w:val="0"/>
              <w:spacing w:line="360" w:lineRule="auto"/>
              <w:jc w:val="left"/>
              <w:rPr>
                <w:color w:val="auto"/>
                <w:highlight w:val="none"/>
              </w:rPr>
            </w:pPr>
            <w:r>
              <w:rPr>
                <w:rFonts w:ascii="新宋体" w:hAnsi="新宋体" w:eastAsia="新宋体"/>
                <w:b/>
                <w:szCs w:val="21"/>
                <w:highlight w:val="none"/>
              </w:rPr>
              <w:fldChar w:fldCharType="begin"/>
            </w:r>
            <w:r>
              <w:rPr>
                <w:rFonts w:hint="eastAsia" w:ascii="新宋体" w:hAnsi="新宋体" w:eastAsia="新宋体"/>
                <w:b/>
                <w:szCs w:val="21"/>
                <w:highlight w:val="none"/>
              </w:rPr>
              <w:instrText xml:space="preserve">eq \o\ac(□,√)</w:instrText>
            </w:r>
            <w:r>
              <w:rPr>
                <w:rFonts w:ascii="新宋体" w:hAnsi="新宋体" w:eastAsia="新宋体"/>
                <w:b/>
                <w:szCs w:val="21"/>
                <w:highlight w:val="none"/>
              </w:rPr>
              <w:fldChar w:fldCharType="end"/>
            </w:r>
            <w:r>
              <w:rPr>
                <w:rFonts w:hint="eastAsia"/>
                <w:color w:val="auto"/>
                <w:highlight w:val="none"/>
              </w:rPr>
              <w:t>电子投标文件：成功上传至新点系统的</w:t>
            </w:r>
            <w:r>
              <w:rPr>
                <w:rFonts w:hint="eastAsia" w:ascii="新宋体" w:hAnsi="新宋体" w:eastAsia="新宋体"/>
                <w:szCs w:val="21"/>
              </w:rPr>
              <w:t>加密</w:t>
            </w:r>
            <w:r>
              <w:rPr>
                <w:rFonts w:hint="eastAsia"/>
                <w:color w:val="auto"/>
                <w:highlight w:val="none"/>
              </w:rPr>
              <w:t>电子投标文件</w:t>
            </w:r>
            <w:r>
              <w:rPr>
                <w:rFonts w:hint="eastAsia"/>
                <w:color w:val="auto"/>
                <w:highlight w:val="none"/>
                <w:lang w:val="zh-CN"/>
              </w:rPr>
              <w:t>。</w:t>
            </w:r>
          </w:p>
          <w:p w14:paraId="78AF6726">
            <w:pPr>
              <w:pStyle w:val="29"/>
              <w:ind w:firstLine="0" w:firstLineChars="0"/>
              <w:rPr>
                <w:color w:val="auto"/>
                <w:highlight w:val="none"/>
              </w:rPr>
            </w:pPr>
            <w:r>
              <w:rPr>
                <w:rFonts w:hint="eastAsia" w:ascii="新宋体" w:hAnsi="新宋体" w:eastAsia="新宋体" w:cs="宋体"/>
                <w:kern w:val="2"/>
                <w:sz w:val="21"/>
                <w:szCs w:val="21"/>
                <w:lang w:val="en-US" w:eastAsia="zh-CN" w:bidi="ar-SA"/>
              </w:rPr>
              <w:fldChar w:fldCharType="begin"/>
            </w:r>
            <w:r>
              <w:rPr>
                <w:rFonts w:hint="eastAsia" w:ascii="新宋体" w:hAnsi="新宋体" w:eastAsia="新宋体" w:cs="宋体"/>
                <w:kern w:val="2"/>
                <w:sz w:val="21"/>
                <w:szCs w:val="21"/>
                <w:lang w:val="en-US" w:eastAsia="zh-CN" w:bidi="ar-SA"/>
              </w:rPr>
              <w:instrText xml:space="preserve"> eq \o\ac(□)</w:instrText>
            </w:r>
            <w:r>
              <w:rPr>
                <w:rFonts w:hint="eastAsia" w:ascii="新宋体" w:hAnsi="新宋体" w:eastAsia="新宋体" w:cs="宋体"/>
                <w:kern w:val="2"/>
                <w:sz w:val="21"/>
                <w:szCs w:val="21"/>
                <w:lang w:val="en-US" w:eastAsia="zh-CN" w:bidi="ar-SA"/>
              </w:rPr>
              <w:fldChar w:fldCharType="end"/>
            </w:r>
            <w:r>
              <w:rPr>
                <w:rFonts w:hint="eastAsia" w:ascii="新宋体" w:hAnsi="新宋体" w:eastAsia="新宋体" w:cs="宋体"/>
                <w:kern w:val="2"/>
                <w:sz w:val="21"/>
                <w:szCs w:val="21"/>
                <w:lang w:val="en-US" w:eastAsia="zh-CN" w:bidi="ar-SA"/>
              </w:rPr>
              <w:t>纸质投标文件：正本一份。使用格式为“投标文件（供打印）.PDF”的文件。电子响应文件和纸质响应文件的内容、格式、水印码、签章应一致。</w:t>
            </w:r>
          </w:p>
        </w:tc>
      </w:tr>
      <w:tr w14:paraId="3E9BD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6922B1C9">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19</w:t>
            </w:r>
          </w:p>
        </w:tc>
        <w:tc>
          <w:tcPr>
            <w:tcW w:w="2268" w:type="dxa"/>
            <w:vAlign w:val="center"/>
          </w:tcPr>
          <w:p w14:paraId="3E7E7944">
            <w:pPr>
              <w:autoSpaceDE w:val="0"/>
              <w:autoSpaceDN w:val="0"/>
              <w:adjustRightInd w:val="0"/>
              <w:spacing w:line="360" w:lineRule="auto"/>
              <w:jc w:val="center"/>
              <w:rPr>
                <w:rFonts w:ascii="宋体" w:hAnsi="宋体" w:cs="仿宋_GB2312"/>
                <w:color w:val="auto"/>
                <w:szCs w:val="21"/>
                <w:highlight w:val="none"/>
              </w:rPr>
            </w:pPr>
            <w:r>
              <w:rPr>
                <w:rFonts w:hint="eastAsia" w:ascii="宋体" w:hAnsi="宋体" w:cs="仿宋_GB2312"/>
                <w:color w:val="auto"/>
                <w:szCs w:val="21"/>
                <w:highlight w:val="none"/>
              </w:rPr>
              <w:t>投标文件的</w:t>
            </w:r>
          </w:p>
          <w:p w14:paraId="2EC217BA">
            <w:pPr>
              <w:autoSpaceDE w:val="0"/>
              <w:autoSpaceDN w:val="0"/>
              <w:adjustRightInd w:val="0"/>
              <w:spacing w:line="360" w:lineRule="auto"/>
              <w:jc w:val="center"/>
              <w:rPr>
                <w:rFonts w:ascii="宋体" w:hAnsi="宋体" w:cs="仿宋_GB2312"/>
                <w:color w:val="auto"/>
                <w:szCs w:val="21"/>
                <w:highlight w:val="none"/>
              </w:rPr>
            </w:pPr>
            <w:r>
              <w:rPr>
                <w:rFonts w:hint="eastAsia" w:ascii="宋体" w:hAnsi="宋体" w:cs="仿宋_GB2312"/>
                <w:color w:val="auto"/>
                <w:szCs w:val="21"/>
                <w:highlight w:val="none"/>
              </w:rPr>
              <w:t>签署盖章</w:t>
            </w:r>
          </w:p>
        </w:tc>
        <w:tc>
          <w:tcPr>
            <w:tcW w:w="6804" w:type="dxa"/>
            <w:vAlign w:val="center"/>
          </w:tcPr>
          <w:p w14:paraId="6C21C871">
            <w:pPr>
              <w:autoSpaceDE w:val="0"/>
              <w:autoSpaceDN w:val="0"/>
              <w:adjustRightInd w:val="0"/>
              <w:spacing w:line="360" w:lineRule="auto"/>
              <w:jc w:val="left"/>
              <w:rPr>
                <w:rFonts w:ascii="宋体" w:hAnsi="宋体" w:cs="仿宋_GB2312"/>
                <w:color w:val="auto"/>
                <w:szCs w:val="21"/>
                <w:highlight w:val="none"/>
              </w:rPr>
            </w:pPr>
            <w:r>
              <w:rPr>
                <w:rFonts w:ascii="新宋体" w:hAnsi="新宋体" w:eastAsia="新宋体"/>
                <w:b/>
                <w:szCs w:val="21"/>
                <w:highlight w:val="none"/>
              </w:rPr>
              <w:fldChar w:fldCharType="begin"/>
            </w:r>
            <w:r>
              <w:rPr>
                <w:rFonts w:hint="eastAsia" w:ascii="新宋体" w:hAnsi="新宋体" w:eastAsia="新宋体"/>
                <w:b/>
                <w:szCs w:val="21"/>
                <w:highlight w:val="none"/>
              </w:rPr>
              <w:instrText xml:space="preserve">eq \o\ac(□,√)</w:instrText>
            </w:r>
            <w:r>
              <w:rPr>
                <w:rFonts w:ascii="新宋体" w:hAnsi="新宋体" w:eastAsia="新宋体"/>
                <w:b/>
                <w:szCs w:val="21"/>
                <w:highlight w:val="none"/>
              </w:rPr>
              <w:fldChar w:fldCharType="end"/>
            </w:r>
            <w:r>
              <w:rPr>
                <w:rFonts w:hint="eastAsia" w:ascii="宋体" w:hAnsi="宋体" w:cs="仿宋_GB2312"/>
                <w:color w:val="auto"/>
                <w:szCs w:val="21"/>
                <w:highlight w:val="none"/>
              </w:rPr>
              <w:t>电子投标文件：按招标文件要求加盖投标人电子印章和法人电子印章。</w:t>
            </w:r>
          </w:p>
          <w:p w14:paraId="66A84BB6">
            <w:pPr>
              <w:autoSpaceDE w:val="0"/>
              <w:autoSpaceDN w:val="0"/>
              <w:adjustRightInd w:val="0"/>
              <w:spacing w:line="360" w:lineRule="auto"/>
              <w:jc w:val="left"/>
              <w:rPr>
                <w:rFonts w:ascii="宋体" w:hAnsi="宋体" w:cs="仿宋_GB2312"/>
                <w:color w:val="auto"/>
                <w:szCs w:val="21"/>
                <w:highlight w:val="none"/>
              </w:rPr>
            </w:pPr>
            <w:r>
              <w:rPr>
                <w:rFonts w:hint="eastAsia" w:ascii="宋体" w:hAnsi="宋体" w:cs="仿宋_GB2312"/>
                <w:color w:val="auto"/>
                <w:szCs w:val="21"/>
                <w:highlight w:val="none"/>
              </w:rPr>
              <w:fldChar w:fldCharType="begin"/>
            </w:r>
            <w:r>
              <w:rPr>
                <w:rFonts w:hint="eastAsia" w:ascii="宋体" w:hAnsi="宋体" w:cs="仿宋_GB2312"/>
                <w:color w:val="auto"/>
                <w:szCs w:val="21"/>
                <w:highlight w:val="none"/>
              </w:rPr>
              <w:instrText xml:space="preserve"> eq \o\ac(□)</w:instrText>
            </w:r>
            <w:r>
              <w:rPr>
                <w:rFonts w:hint="eastAsia" w:ascii="宋体" w:hAnsi="宋体" w:cs="仿宋_GB2312"/>
                <w:color w:val="auto"/>
                <w:szCs w:val="21"/>
                <w:highlight w:val="none"/>
              </w:rPr>
              <w:fldChar w:fldCharType="end"/>
            </w:r>
            <w:r>
              <w:rPr>
                <w:rFonts w:hint="eastAsia" w:ascii="宋体" w:hAnsi="宋体" w:cs="仿宋_GB2312"/>
                <w:color w:val="auto"/>
                <w:szCs w:val="21"/>
                <w:highlight w:val="none"/>
              </w:rPr>
              <w:t>纸质投标文件：投标文件封面加盖投标人公章（投标文件是指投标人电子投标文件制作完成后生成的后缀名为“.PDF”的文件打印的纸质投标文件）。</w:t>
            </w:r>
          </w:p>
        </w:tc>
      </w:tr>
      <w:tr w14:paraId="1585B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02DF9077">
            <w:pPr>
              <w:autoSpaceDE w:val="0"/>
              <w:autoSpaceDN w:val="0"/>
              <w:adjustRightInd w:val="0"/>
              <w:spacing w:line="276" w:lineRule="auto"/>
              <w:jc w:val="center"/>
              <w:rPr>
                <w:rFonts w:ascii="宋体" w:hAnsi="宋体" w:cs="TimesNewRomanPSMT"/>
                <w:color w:val="auto"/>
                <w:szCs w:val="21"/>
                <w:highlight w:val="none"/>
              </w:rPr>
            </w:pPr>
            <w:r>
              <w:rPr>
                <w:rFonts w:hint="eastAsia" w:ascii="宋体" w:hAnsi="宋体" w:cs="TimesNewRomanPSMT"/>
                <w:color w:val="auto"/>
                <w:szCs w:val="21"/>
                <w:highlight w:val="none"/>
              </w:rPr>
              <w:t>20</w:t>
            </w:r>
          </w:p>
        </w:tc>
        <w:tc>
          <w:tcPr>
            <w:tcW w:w="2268" w:type="dxa"/>
            <w:vAlign w:val="center"/>
          </w:tcPr>
          <w:p w14:paraId="63629BC8">
            <w:pPr>
              <w:autoSpaceDE w:val="0"/>
              <w:autoSpaceDN w:val="0"/>
              <w:adjustRightInd w:val="0"/>
              <w:spacing w:line="360" w:lineRule="auto"/>
              <w:jc w:val="center"/>
              <w:rPr>
                <w:rFonts w:ascii="宋体" w:hAnsi="宋体" w:cs="仿宋_GB2312"/>
                <w:color w:val="auto"/>
                <w:szCs w:val="21"/>
                <w:highlight w:val="none"/>
              </w:rPr>
            </w:pPr>
            <w:r>
              <w:rPr>
                <w:rFonts w:hint="eastAsia" w:ascii="宋体" w:hAnsi="宋体" w:cs="黑体"/>
                <w:color w:val="auto"/>
                <w:szCs w:val="21"/>
                <w:highlight w:val="none"/>
              </w:rPr>
              <w:t>磋商小组组建</w:t>
            </w:r>
          </w:p>
        </w:tc>
        <w:tc>
          <w:tcPr>
            <w:tcW w:w="6804" w:type="dxa"/>
            <w:vAlign w:val="center"/>
          </w:tcPr>
          <w:p w14:paraId="50D3A681">
            <w:pPr>
              <w:autoSpaceDE w:val="0"/>
              <w:autoSpaceDN w:val="0"/>
              <w:adjustRightInd w:val="0"/>
              <w:spacing w:line="360" w:lineRule="auto"/>
              <w:rPr>
                <w:rFonts w:ascii="宋体" w:hAnsi="宋体" w:cs="仿宋_GB2312"/>
                <w:color w:val="auto"/>
                <w:szCs w:val="21"/>
                <w:highlight w:val="none"/>
                <w:lang w:val="zh-CN"/>
              </w:rPr>
            </w:pPr>
            <w:r>
              <w:rPr>
                <w:rFonts w:hint="eastAsia" w:ascii="宋体" w:hAnsi="宋体" w:cs="仿宋_GB2312"/>
                <w:color w:val="auto"/>
                <w:szCs w:val="21"/>
                <w:highlight w:val="none"/>
                <w:lang w:val="zh-CN"/>
              </w:rPr>
              <w:t>由评审专家组成，评审专家从专家库中随机抽取。</w:t>
            </w:r>
          </w:p>
        </w:tc>
      </w:tr>
      <w:tr w14:paraId="18C68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0BF2C2EA">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21</w:t>
            </w:r>
          </w:p>
        </w:tc>
        <w:tc>
          <w:tcPr>
            <w:tcW w:w="2268" w:type="dxa"/>
            <w:vAlign w:val="center"/>
          </w:tcPr>
          <w:p w14:paraId="0E53D03E">
            <w:pPr>
              <w:autoSpaceDE w:val="0"/>
              <w:autoSpaceDN w:val="0"/>
              <w:adjustRightInd w:val="0"/>
              <w:spacing w:line="360"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履约保证金</w:t>
            </w:r>
          </w:p>
        </w:tc>
        <w:tc>
          <w:tcPr>
            <w:tcW w:w="6804" w:type="dxa"/>
            <w:vAlign w:val="center"/>
          </w:tcPr>
          <w:p w14:paraId="795DF5A2">
            <w:pPr>
              <w:autoSpaceDE w:val="0"/>
              <w:autoSpaceDN w:val="0"/>
              <w:adjustRightInd w:val="0"/>
              <w:spacing w:line="360" w:lineRule="auto"/>
              <w:rPr>
                <w:rFonts w:ascii="宋体" w:hAnsi="宋体"/>
                <w:color w:val="auto"/>
                <w:kern w:val="0"/>
                <w:szCs w:val="21"/>
                <w:highlight w:val="none"/>
                <w:lang w:val="zh-CN"/>
              </w:rPr>
            </w:pPr>
            <w:r>
              <w:rPr>
                <w:rFonts w:ascii="宋体" w:hAnsi="宋体"/>
                <w:b/>
                <w:color w:val="auto"/>
                <w:kern w:val="0"/>
                <w:szCs w:val="21"/>
                <w:highlight w:val="none"/>
                <w:lang w:val="zh-CN"/>
              </w:rPr>
              <w:fldChar w:fldCharType="begin"/>
            </w:r>
            <w:r>
              <w:rPr>
                <w:rFonts w:hint="eastAsia" w:ascii="宋体" w:hAnsi="宋体"/>
                <w:b/>
                <w:color w:val="auto"/>
                <w:kern w:val="0"/>
                <w:szCs w:val="21"/>
                <w:highlight w:val="none"/>
                <w:lang w:val="zh-CN"/>
              </w:rPr>
              <w:instrText xml:space="preserve">eq \o\ac(□,</w:instrText>
            </w:r>
            <w:r>
              <w:rPr>
                <w:rFonts w:hint="eastAsia" w:ascii="宋体" w:hAnsi="宋体"/>
                <w:b/>
                <w:color w:val="auto"/>
                <w:kern w:val="0"/>
                <w:position w:val="2"/>
                <w:szCs w:val="21"/>
                <w:highlight w:val="none"/>
                <w:lang w:val="zh-CN"/>
              </w:rPr>
              <w:instrText xml:space="preserve">√</w:instrText>
            </w:r>
            <w:r>
              <w:rPr>
                <w:rFonts w:hint="eastAsia" w:ascii="宋体" w:hAnsi="宋体"/>
                <w:b/>
                <w:color w:val="auto"/>
                <w:kern w:val="0"/>
                <w:szCs w:val="21"/>
                <w:highlight w:val="none"/>
                <w:lang w:val="zh-CN"/>
              </w:rPr>
              <w:instrText xml:space="preserve">)</w:instrText>
            </w:r>
            <w:r>
              <w:rPr>
                <w:rFonts w:ascii="宋体" w:hAnsi="宋体"/>
                <w:b/>
                <w:color w:val="auto"/>
                <w:kern w:val="0"/>
                <w:szCs w:val="21"/>
                <w:highlight w:val="none"/>
                <w:lang w:val="zh-CN"/>
              </w:rPr>
              <w:fldChar w:fldCharType="end"/>
            </w:r>
            <w:r>
              <w:rPr>
                <w:rFonts w:hint="eastAsia" w:ascii="宋体" w:hAnsi="宋体"/>
                <w:bCs/>
                <w:color w:val="auto"/>
                <w:szCs w:val="21"/>
                <w:highlight w:val="none"/>
                <w:lang w:val="zh-CN"/>
              </w:rPr>
              <w:t>无要求</w:t>
            </w:r>
          </w:p>
          <w:p w14:paraId="4A402C95">
            <w:pPr>
              <w:autoSpaceDE w:val="0"/>
              <w:autoSpaceDN w:val="0"/>
              <w:adjustRightInd w:val="0"/>
              <w:spacing w:line="360" w:lineRule="auto"/>
              <w:rPr>
                <w:rFonts w:ascii="宋体" w:hAnsi="宋体"/>
                <w:bCs/>
                <w:color w:val="auto"/>
                <w:szCs w:val="21"/>
                <w:highlight w:val="none"/>
                <w:lang w:val="zh-CN"/>
              </w:rPr>
            </w:pPr>
            <w:r>
              <w:rPr>
                <w:rFonts w:hint="eastAsia" w:ascii="宋体" w:hAnsi="宋体"/>
                <w:b/>
                <w:bCs/>
                <w:color w:val="auto"/>
                <w:szCs w:val="21"/>
                <w:highlight w:val="none"/>
                <w:lang w:val="zh-CN"/>
              </w:rPr>
              <w:t>□</w:t>
            </w:r>
            <w:r>
              <w:rPr>
                <w:rFonts w:hint="eastAsia" w:ascii="宋体" w:hAnsi="宋体"/>
                <w:color w:val="auto"/>
                <w:szCs w:val="21"/>
                <w:highlight w:val="none"/>
              </w:rPr>
              <w:t>要求提交。履约保证金的数额为合同金额</w:t>
            </w:r>
            <w:r>
              <w:rPr>
                <w:rFonts w:hint="eastAsia" w:ascii="新宋体" w:hAnsi="新宋体" w:eastAsia="新宋体"/>
                <w:color w:val="auto"/>
                <w:szCs w:val="21"/>
                <w:highlight w:val="none"/>
              </w:rPr>
              <w:t>的%</w:t>
            </w:r>
            <w:r>
              <w:rPr>
                <w:rFonts w:hint="eastAsia" w:ascii="宋体" w:hAnsi="宋体"/>
                <w:color w:val="auto"/>
                <w:szCs w:val="21"/>
                <w:highlight w:val="none"/>
              </w:rPr>
              <w:t>。成交供应商以支票、汇票、本票或者金融机构、担保机构出具的保函等非现金形式向采购人提交。</w:t>
            </w:r>
          </w:p>
        </w:tc>
      </w:tr>
      <w:tr w14:paraId="5B848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4FAC7626">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22</w:t>
            </w:r>
          </w:p>
        </w:tc>
        <w:tc>
          <w:tcPr>
            <w:tcW w:w="2268" w:type="dxa"/>
            <w:vAlign w:val="center"/>
          </w:tcPr>
          <w:p w14:paraId="6E4C95CC">
            <w:pPr>
              <w:autoSpaceDE w:val="0"/>
              <w:autoSpaceDN w:val="0"/>
              <w:adjustRightInd w:val="0"/>
              <w:spacing w:line="360"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代理服务费</w:t>
            </w:r>
          </w:p>
        </w:tc>
        <w:tc>
          <w:tcPr>
            <w:tcW w:w="6804" w:type="dxa"/>
            <w:vAlign w:val="center"/>
          </w:tcPr>
          <w:p w14:paraId="1B616904">
            <w:pPr>
              <w:autoSpaceDE w:val="0"/>
              <w:autoSpaceDN w:val="0"/>
              <w:spacing w:line="360" w:lineRule="auto"/>
              <w:contextualSpacing/>
              <w:rPr>
                <w:rFonts w:ascii="宋体" w:hAnsi="宋体"/>
                <w:bCs/>
                <w:color w:val="auto"/>
                <w:szCs w:val="21"/>
                <w:highlight w:val="none"/>
                <w:lang w:val="zh-CN"/>
              </w:rPr>
            </w:pPr>
            <w:r>
              <w:rPr>
                <w:rFonts w:hint="eastAsia"/>
                <w:color w:val="auto"/>
                <w:szCs w:val="21"/>
                <w:highlight w:val="none"/>
              </w:rPr>
              <w:t>采购代理费计取为参照计价格〔2002〕1980 号及国家发展和改革委员会《发改办价格〔2003〕 857 号》 文件规定的收费标准，由中标人支付给采购代理机构。此费用由磋商人综合考虑到磋商报价中，不再单独列项。</w:t>
            </w:r>
          </w:p>
        </w:tc>
      </w:tr>
      <w:tr w14:paraId="76F17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61333CDF">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23</w:t>
            </w:r>
          </w:p>
        </w:tc>
        <w:tc>
          <w:tcPr>
            <w:tcW w:w="2268" w:type="dxa"/>
            <w:vAlign w:val="center"/>
          </w:tcPr>
          <w:p w14:paraId="4F5F2F77">
            <w:pPr>
              <w:autoSpaceDE w:val="0"/>
              <w:autoSpaceDN w:val="0"/>
              <w:adjustRightInd w:val="0"/>
              <w:spacing w:line="360"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成交供应商需提交</w:t>
            </w:r>
          </w:p>
          <w:p w14:paraId="47BC4CFF">
            <w:pPr>
              <w:autoSpaceDE w:val="0"/>
              <w:autoSpaceDN w:val="0"/>
              <w:adjustRightInd w:val="0"/>
              <w:spacing w:line="360"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的资料</w:t>
            </w:r>
          </w:p>
        </w:tc>
        <w:tc>
          <w:tcPr>
            <w:tcW w:w="6804" w:type="dxa"/>
            <w:vAlign w:val="center"/>
          </w:tcPr>
          <w:p w14:paraId="5DF39E99">
            <w:pPr>
              <w:autoSpaceDE w:val="0"/>
              <w:autoSpaceDN w:val="0"/>
              <w:adjustRightInd w:val="0"/>
              <w:spacing w:line="360" w:lineRule="auto"/>
              <w:rPr>
                <w:rFonts w:ascii="宋体" w:hAnsi="宋体"/>
                <w:bCs/>
                <w:color w:val="auto"/>
                <w:szCs w:val="21"/>
                <w:highlight w:val="none"/>
                <w:lang w:val="zh-CN"/>
              </w:rPr>
            </w:pPr>
            <w:r>
              <w:rPr>
                <w:rFonts w:hint="eastAsia" w:ascii="宋体" w:hAnsi="宋体"/>
                <w:bCs/>
                <w:color w:val="auto"/>
                <w:szCs w:val="21"/>
                <w:highlight w:val="none"/>
                <w:lang w:val="zh-CN"/>
              </w:rPr>
              <w:t>成交供应商在接到成交通知时，须</w:t>
            </w:r>
            <w:r>
              <w:rPr>
                <w:rFonts w:hint="eastAsia" w:ascii="新宋体" w:hAnsi="新宋体" w:eastAsia="新宋体"/>
                <w:color w:val="auto"/>
                <w:szCs w:val="21"/>
                <w:highlight w:val="none"/>
              </w:rPr>
              <w:t>向河南永明工程管理有限公司发</w:t>
            </w:r>
            <w:r>
              <w:rPr>
                <w:rFonts w:hint="eastAsia" w:ascii="宋体" w:hAnsi="宋体"/>
                <w:bCs/>
                <w:color w:val="auto"/>
                <w:szCs w:val="21"/>
                <w:highlight w:val="none"/>
                <w:lang w:val="zh-CN"/>
              </w:rPr>
              <w:t>送响应报价一览表（包含主要成交标的的名称、数量、单价、服务要求等）电子文档，并同时电话告知。联系电话：0374-5051770；邮箱：</w:t>
            </w:r>
            <w:r>
              <w:rPr>
                <w:rFonts w:hint="eastAsia" w:ascii="宋体" w:hAnsi="宋体"/>
                <w:bCs/>
                <w:color w:val="auto"/>
                <w:szCs w:val="21"/>
                <w:highlight w:val="none"/>
              </w:rPr>
              <w:t>hnym0374@126.com</w:t>
            </w:r>
            <w:r>
              <w:rPr>
                <w:rFonts w:hint="eastAsia" w:ascii="宋体" w:hAnsi="宋体"/>
                <w:bCs/>
                <w:color w:val="auto"/>
                <w:szCs w:val="21"/>
                <w:highlight w:val="none"/>
                <w:lang w:val="zh-CN"/>
              </w:rPr>
              <w:t xml:space="preserve">。    </w:t>
            </w:r>
          </w:p>
        </w:tc>
      </w:tr>
      <w:tr w14:paraId="6C76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43C1050D">
            <w:pPr>
              <w:autoSpaceDE w:val="0"/>
              <w:autoSpaceDN w:val="0"/>
              <w:adjustRightInd w:val="0"/>
              <w:spacing w:line="276" w:lineRule="auto"/>
              <w:jc w:val="center"/>
              <w:rPr>
                <w:rFonts w:ascii="宋体" w:hAnsi="宋体" w:cs="黑体"/>
                <w:color w:val="auto"/>
                <w:szCs w:val="21"/>
                <w:highlight w:val="none"/>
              </w:rPr>
            </w:pPr>
            <w:r>
              <w:rPr>
                <w:rFonts w:hint="eastAsia" w:ascii="宋体" w:hAnsi="宋体" w:cs="黑体"/>
                <w:color w:val="auto"/>
                <w:szCs w:val="21"/>
                <w:highlight w:val="none"/>
              </w:rPr>
              <w:t>24</w:t>
            </w:r>
          </w:p>
        </w:tc>
        <w:tc>
          <w:tcPr>
            <w:tcW w:w="2268" w:type="dxa"/>
            <w:vAlign w:val="center"/>
          </w:tcPr>
          <w:p w14:paraId="18A700AB">
            <w:pPr>
              <w:autoSpaceDE w:val="0"/>
              <w:autoSpaceDN w:val="0"/>
              <w:adjustRightInd w:val="0"/>
              <w:spacing w:line="360" w:lineRule="auto"/>
              <w:jc w:val="center"/>
              <w:rPr>
                <w:rFonts w:ascii="宋体" w:hAnsi="宋体"/>
                <w:bCs/>
                <w:color w:val="auto"/>
                <w:szCs w:val="21"/>
                <w:highlight w:val="none"/>
                <w:lang w:val="zh-CN"/>
              </w:rPr>
            </w:pPr>
            <w:r>
              <w:rPr>
                <w:rFonts w:hint="eastAsia" w:ascii="宋体" w:hAnsi="宋体"/>
                <w:bCs/>
                <w:color w:val="auto"/>
                <w:szCs w:val="21"/>
                <w:highlight w:val="none"/>
                <w:lang w:val="zh-CN"/>
              </w:rPr>
              <w:t>最后报价</w:t>
            </w:r>
          </w:p>
        </w:tc>
        <w:tc>
          <w:tcPr>
            <w:tcW w:w="6804" w:type="dxa"/>
            <w:vAlign w:val="center"/>
          </w:tcPr>
          <w:p w14:paraId="66020771">
            <w:pPr>
              <w:wordWrap w:val="0"/>
              <w:autoSpaceDE w:val="0"/>
              <w:autoSpaceDN w:val="0"/>
              <w:adjustRightInd w:val="0"/>
              <w:spacing w:line="360" w:lineRule="auto"/>
              <w:contextualSpacing/>
              <w:rPr>
                <w:rFonts w:ascii="ˎ̥" w:hAnsi="ˎ̥"/>
              </w:rPr>
            </w:pPr>
            <w:r>
              <w:rPr>
                <w:rFonts w:hint="eastAsia" w:ascii="ˎ̥" w:hAnsi="ˎ̥"/>
              </w:rPr>
              <w:t>根据磋商小组要求，供应商须</w:t>
            </w:r>
            <w:r>
              <w:rPr>
                <w:rFonts w:hint="eastAsia" w:ascii="ˎ̥" w:hAnsi="ˎ̥"/>
                <w:lang w:val="en-US" w:eastAsia="zh-CN"/>
              </w:rPr>
              <w:t>在</w:t>
            </w:r>
            <w:r>
              <w:rPr>
                <w:rFonts w:hint="eastAsia" w:ascii="宋体" w:hAnsi="宋体" w:cs="仿宋_GB2312"/>
                <w:color w:val="auto"/>
                <w:sz w:val="21"/>
                <w:szCs w:val="21"/>
                <w:highlight w:val="none"/>
                <w:shd w:val="clear" w:color="auto" w:fill="FFFFFF"/>
              </w:rPr>
              <w:t>新点交易平台</w:t>
            </w:r>
            <w:r>
              <w:rPr>
                <w:rFonts w:hint="eastAsia" w:ascii="宋体" w:hAnsi="宋体" w:cs="仿宋_GB2312"/>
                <w:color w:val="auto"/>
                <w:sz w:val="21"/>
                <w:szCs w:val="21"/>
                <w:highlight w:val="none"/>
                <w:shd w:val="clear" w:color="auto" w:fill="FFFFFF"/>
                <w:lang w:val="zh-CN"/>
              </w:rPr>
              <w:t>（https://xctzjt.etrading.cn/）</w:t>
            </w:r>
            <w:r>
              <w:rPr>
                <w:rFonts w:hint="eastAsia" w:ascii="ˎ̥" w:hAnsi="ˎ̥"/>
              </w:rPr>
              <w:t>进行最后报价，最后报价应包括：①总报价②分项报价。</w:t>
            </w:r>
          </w:p>
          <w:p w14:paraId="155BCA82">
            <w:pPr>
              <w:autoSpaceDE w:val="0"/>
              <w:autoSpaceDN w:val="0"/>
              <w:adjustRightInd w:val="0"/>
              <w:spacing w:line="360" w:lineRule="auto"/>
              <w:ind w:right="-11"/>
              <w:rPr>
                <w:rFonts w:ascii="楷体" w:hAnsi="楷体" w:eastAsia="楷体" w:cs="仿宋_GB2312"/>
                <w:sz w:val="24"/>
                <w:szCs w:val="24"/>
                <w:lang w:val="zh-CN"/>
              </w:rPr>
            </w:pPr>
            <w:r>
              <w:rPr>
                <w:rFonts w:hint="eastAsia" w:ascii="楷体" w:hAnsi="楷体" w:eastAsia="楷体" w:cs="仿宋_GB2312"/>
                <w:sz w:val="24"/>
                <w:szCs w:val="24"/>
                <w:lang w:val="zh-CN"/>
              </w:rPr>
              <w:t>注：</w:t>
            </w:r>
          </w:p>
          <w:p w14:paraId="0BA5813B">
            <w:pPr>
              <w:autoSpaceDE w:val="0"/>
              <w:autoSpaceDN w:val="0"/>
              <w:adjustRightInd w:val="0"/>
              <w:spacing w:line="360" w:lineRule="auto"/>
              <w:ind w:right="-11"/>
              <w:rPr>
                <w:rFonts w:ascii="楷体" w:hAnsi="楷体" w:eastAsia="楷体" w:cs="仿宋_GB2312"/>
                <w:color w:val="auto"/>
                <w:sz w:val="24"/>
                <w:szCs w:val="24"/>
                <w:lang w:val="zh-CN"/>
              </w:rPr>
            </w:pPr>
            <w:r>
              <w:rPr>
                <w:rFonts w:hint="eastAsia" w:ascii="楷体" w:hAnsi="楷体" w:eastAsia="楷体" w:cs="仿宋_GB2312"/>
                <w:color w:val="auto"/>
                <w:sz w:val="24"/>
                <w:szCs w:val="24"/>
                <w:lang w:val="zh-CN"/>
              </w:rPr>
              <w:t>①磋商小组要求供应商提交最后报价时，在磋商小组规定时间内，供应商应提交最后报价（包括总报价及分项报价）。最后报价是供应商响应文件的有效组成部分。</w:t>
            </w:r>
          </w:p>
          <w:p w14:paraId="503028D0">
            <w:pPr>
              <w:autoSpaceDE w:val="0"/>
              <w:autoSpaceDN w:val="0"/>
              <w:adjustRightInd w:val="0"/>
              <w:spacing w:line="360" w:lineRule="auto"/>
              <w:ind w:right="-11"/>
              <w:rPr>
                <w:rFonts w:ascii="楷体" w:hAnsi="楷体" w:eastAsia="楷体" w:cs="仿宋_GB2312"/>
                <w:sz w:val="24"/>
                <w:szCs w:val="24"/>
                <w:lang w:val="zh-CN"/>
              </w:rPr>
            </w:pPr>
            <w:r>
              <w:rPr>
                <w:rFonts w:hint="eastAsia" w:ascii="楷体" w:hAnsi="楷体" w:eastAsia="楷体" w:cs="仿宋_GB2312"/>
                <w:color w:val="auto"/>
                <w:sz w:val="24"/>
                <w:szCs w:val="24"/>
                <w:lang w:val="zh-CN"/>
              </w:rPr>
              <w:t>②磋商文件第二章“采购需求”中“采购清单”以工程量清单提供的，供应商应以工程量清单</w:t>
            </w:r>
            <w:r>
              <w:rPr>
                <w:rFonts w:hint="eastAsia" w:ascii="楷体" w:hAnsi="楷体" w:eastAsia="楷体" w:cs="仿宋_GB2312"/>
                <w:sz w:val="24"/>
                <w:szCs w:val="24"/>
                <w:lang w:val="zh-CN"/>
              </w:rPr>
              <w:t>方式提交最后报价。</w:t>
            </w:r>
          </w:p>
          <w:p w14:paraId="309830A1">
            <w:pPr>
              <w:spacing w:line="360" w:lineRule="auto"/>
              <w:rPr>
                <w:rFonts w:ascii="楷体" w:hAnsi="楷体"/>
                <w:color w:val="auto"/>
                <w:sz w:val="24"/>
                <w:szCs w:val="24"/>
                <w:highlight w:val="none"/>
              </w:rPr>
            </w:pPr>
            <w:r>
              <w:rPr>
                <w:rFonts w:hint="eastAsia" w:ascii="楷体" w:hAnsi="楷体" w:eastAsia="楷体" w:cs="仿宋_GB2312"/>
                <w:sz w:val="24"/>
                <w:szCs w:val="24"/>
                <w:lang w:val="zh-CN"/>
              </w:rPr>
              <w:t>③请供应商根据项目情况，可提前准备分项报价。</w:t>
            </w:r>
          </w:p>
        </w:tc>
      </w:tr>
      <w:tr w14:paraId="3BD5B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5B3A69D6">
            <w:pPr>
              <w:spacing w:line="360" w:lineRule="auto"/>
              <w:rPr>
                <w:rFonts w:ascii="宋体" w:hAnsi="宋体"/>
                <w:color w:val="auto"/>
                <w:szCs w:val="21"/>
                <w:highlight w:val="none"/>
              </w:rPr>
            </w:pPr>
          </w:p>
          <w:p w14:paraId="724B0597">
            <w:pPr>
              <w:spacing w:line="360" w:lineRule="auto"/>
              <w:ind w:firstLine="210" w:firstLineChars="100"/>
              <w:rPr>
                <w:rFonts w:ascii="宋体" w:hAnsi="宋体"/>
                <w:color w:val="auto"/>
                <w:szCs w:val="21"/>
                <w:highlight w:val="none"/>
              </w:rPr>
            </w:pPr>
          </w:p>
          <w:p w14:paraId="76CE13A7">
            <w:pPr>
              <w:spacing w:line="360" w:lineRule="auto"/>
              <w:ind w:firstLine="210" w:firstLineChars="100"/>
              <w:rPr>
                <w:rFonts w:ascii="宋体" w:hAnsi="宋体"/>
                <w:color w:val="auto"/>
                <w:szCs w:val="21"/>
                <w:highlight w:val="none"/>
              </w:rPr>
            </w:pPr>
          </w:p>
          <w:p w14:paraId="6D58F87F">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25</w:t>
            </w:r>
          </w:p>
        </w:tc>
        <w:tc>
          <w:tcPr>
            <w:tcW w:w="2268" w:type="dxa"/>
            <w:vAlign w:val="center"/>
          </w:tcPr>
          <w:p w14:paraId="11603571">
            <w:pPr>
              <w:spacing w:line="360" w:lineRule="auto"/>
              <w:jc w:val="center"/>
              <w:rPr>
                <w:rFonts w:ascii="宋体" w:hAnsi="宋体"/>
                <w:color w:val="auto"/>
                <w:szCs w:val="21"/>
                <w:highlight w:val="none"/>
              </w:rPr>
            </w:pPr>
          </w:p>
          <w:p w14:paraId="698E9338">
            <w:pPr>
              <w:spacing w:line="360" w:lineRule="auto"/>
              <w:jc w:val="center"/>
              <w:rPr>
                <w:rFonts w:ascii="宋体" w:hAnsi="宋体"/>
                <w:color w:val="auto"/>
                <w:szCs w:val="21"/>
                <w:highlight w:val="none"/>
              </w:rPr>
            </w:pPr>
          </w:p>
          <w:p w14:paraId="1641D616">
            <w:pPr>
              <w:spacing w:line="360" w:lineRule="auto"/>
              <w:jc w:val="center"/>
              <w:rPr>
                <w:rFonts w:ascii="宋体" w:hAnsi="宋体"/>
                <w:color w:val="auto"/>
                <w:szCs w:val="21"/>
                <w:highlight w:val="none"/>
              </w:rPr>
            </w:pPr>
          </w:p>
          <w:p w14:paraId="2AA1190B">
            <w:pPr>
              <w:spacing w:line="360" w:lineRule="auto"/>
              <w:jc w:val="center"/>
              <w:rPr>
                <w:rFonts w:ascii="宋体" w:hAnsi="宋体"/>
                <w:color w:val="auto"/>
                <w:szCs w:val="21"/>
                <w:highlight w:val="none"/>
                <w:lang w:val="zh-CN"/>
              </w:rPr>
            </w:pPr>
            <w:r>
              <w:rPr>
                <w:rFonts w:hint="eastAsia" w:ascii="宋体" w:hAnsi="宋体"/>
                <w:color w:val="auto"/>
                <w:szCs w:val="21"/>
                <w:highlight w:val="none"/>
              </w:rPr>
              <w:t>补充内容</w:t>
            </w:r>
          </w:p>
        </w:tc>
        <w:tc>
          <w:tcPr>
            <w:tcW w:w="6804" w:type="dxa"/>
            <w:vAlign w:val="center"/>
          </w:tcPr>
          <w:p w14:paraId="6ABF2A48">
            <w:pPr>
              <w:spacing w:line="360" w:lineRule="auto"/>
              <w:rPr>
                <w:rFonts w:ascii="宋体" w:hAnsi="宋体"/>
                <w:color w:val="auto"/>
                <w:szCs w:val="21"/>
                <w:highlight w:val="none"/>
              </w:rPr>
            </w:pPr>
            <w:r>
              <w:rPr>
                <w:rFonts w:hint="eastAsia" w:ascii="宋体" w:hAnsi="宋体"/>
                <w:color w:val="auto"/>
                <w:szCs w:val="21"/>
                <w:highlight w:val="none"/>
              </w:rPr>
              <w:t>1.投标人必须对出具的资质资格证明材料的合法性、真实性负责，一旦发现有弄虚作假行为的，取消中标资格，向政府监督部门举报。投标人三年内不得参与采购人组织的采购项目，出具书面承诺加盖公章附于响应文件中。</w:t>
            </w:r>
          </w:p>
          <w:p w14:paraId="1298824E">
            <w:pPr>
              <w:spacing w:line="360" w:lineRule="auto"/>
              <w:rPr>
                <w:rFonts w:ascii="宋体" w:hAnsi="宋体"/>
                <w:color w:val="auto"/>
                <w:szCs w:val="21"/>
                <w:highlight w:val="none"/>
              </w:rPr>
            </w:pPr>
            <w:r>
              <w:rPr>
                <w:rFonts w:hint="eastAsia" w:ascii="宋体" w:hAnsi="宋体"/>
                <w:color w:val="auto"/>
                <w:szCs w:val="21"/>
                <w:highlight w:val="none"/>
              </w:rPr>
              <w:t>2.成交人不得借用资质、转包、分包，一旦发现有弄虚作假行为的，取消中标资格，向政府监督部门举报。投标人三年内不得参与采购人组织的采购项目，出具书面承诺加盖公章附于响应文件中。</w:t>
            </w:r>
          </w:p>
        </w:tc>
      </w:tr>
      <w:tr w14:paraId="45CF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23832530">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rPr>
              <w:t>26</w:t>
            </w:r>
          </w:p>
        </w:tc>
        <w:tc>
          <w:tcPr>
            <w:tcW w:w="2268" w:type="dxa"/>
            <w:vAlign w:val="center"/>
          </w:tcPr>
          <w:p w14:paraId="43C2A232">
            <w:pPr>
              <w:spacing w:line="360" w:lineRule="auto"/>
              <w:jc w:val="center"/>
              <w:rPr>
                <w:rFonts w:ascii="宋体" w:hAnsi="宋体"/>
                <w:color w:val="auto"/>
                <w:szCs w:val="21"/>
                <w:highlight w:val="none"/>
                <w:lang w:val="zh-CN"/>
              </w:rPr>
            </w:pPr>
            <w:r>
              <w:rPr>
                <w:rFonts w:hint="eastAsia" w:ascii="宋体" w:hAnsi="宋体"/>
                <w:color w:val="auto"/>
                <w:szCs w:val="21"/>
                <w:highlight w:val="none"/>
              </w:rPr>
              <w:t>中小型企业价格扣除</w:t>
            </w:r>
          </w:p>
        </w:tc>
        <w:tc>
          <w:tcPr>
            <w:tcW w:w="6804" w:type="dxa"/>
          </w:tcPr>
          <w:p w14:paraId="77B8EA75">
            <w:pPr>
              <w:spacing w:line="360" w:lineRule="auto"/>
              <w:rPr>
                <w:rFonts w:ascii="宋体" w:hAnsi="宋体"/>
                <w:color w:val="auto"/>
                <w:szCs w:val="21"/>
                <w:highlight w:val="none"/>
              </w:rPr>
            </w:pPr>
            <w:r>
              <w:rPr>
                <w:rFonts w:hint="eastAsia" w:ascii="宋体" w:hAnsi="宋体"/>
                <w:color w:val="auto"/>
                <w:szCs w:val="21"/>
                <w:highlight w:val="none"/>
              </w:rPr>
              <w:t>1、根据工信部等部委发布的《关于印发中小企业划型标准规定的通知》</w:t>
            </w:r>
          </w:p>
          <w:p w14:paraId="50320BF3">
            <w:pPr>
              <w:spacing w:line="360" w:lineRule="auto"/>
              <w:rPr>
                <w:rFonts w:ascii="宋体" w:hAnsi="宋体"/>
                <w:color w:val="auto"/>
                <w:szCs w:val="21"/>
                <w:highlight w:val="none"/>
              </w:rPr>
            </w:pPr>
            <w:r>
              <w:rPr>
                <w:rFonts w:hint="eastAsia" w:ascii="宋体" w:hAnsi="宋体"/>
                <w:color w:val="auto"/>
                <w:szCs w:val="21"/>
                <w:highlight w:val="none"/>
              </w:rPr>
              <w:t>（工信部联企业〔2011〕300号），按照本次采购标的所属行业的划型标准，符合条件的中小企业应按照磋商文件格式要求提供《中小企业声明函》，否则不得享受相关中小企业扶持政策。</w:t>
            </w:r>
          </w:p>
          <w:p w14:paraId="66206EC6">
            <w:pPr>
              <w:spacing w:line="360" w:lineRule="auto"/>
              <w:rPr>
                <w:rFonts w:hint="default" w:eastAsia="宋体"/>
                <w:color w:val="auto"/>
                <w:highlight w:val="none"/>
                <w:lang w:val="en-US" w:eastAsia="zh-CN"/>
              </w:rPr>
            </w:pPr>
            <w:r>
              <w:rPr>
                <w:rFonts w:hint="eastAsia" w:ascii="宋体" w:hAnsi="宋体"/>
                <w:color w:val="auto"/>
                <w:szCs w:val="21"/>
                <w:highlight w:val="none"/>
              </w:rPr>
              <w:t>2、本次采购标的对应的中小企业划分标准所属行业：</w:t>
            </w:r>
            <w:r>
              <w:rPr>
                <w:rFonts w:hint="eastAsia" w:ascii="宋体" w:hAnsi="宋体"/>
                <w:color w:val="auto"/>
                <w:szCs w:val="21"/>
                <w:highlight w:val="none"/>
                <w:lang w:val="en-US" w:eastAsia="zh-CN"/>
              </w:rPr>
              <w:t>工业。</w:t>
            </w:r>
          </w:p>
          <w:p w14:paraId="1580EE3B">
            <w:pPr>
              <w:spacing w:line="360" w:lineRule="auto"/>
              <w:rPr>
                <w:rFonts w:ascii="宋体" w:hAnsi="宋体"/>
                <w:color w:val="auto"/>
                <w:szCs w:val="21"/>
                <w:highlight w:val="none"/>
              </w:rPr>
            </w:pPr>
            <w:r>
              <w:rPr>
                <w:rFonts w:hint="eastAsia" w:ascii="宋体" w:hAnsi="宋体"/>
                <w:color w:val="auto"/>
                <w:szCs w:val="21"/>
                <w:highlight w:val="none"/>
              </w:rPr>
              <w:t>3、根据财政部、工业和信息化部发布的《政府采购促进中小企业发展管理办法》（财库〔2020〕46号）规定，对小型和微型企业投标价格给予20 %的扣除，用扣除后的价格参与评审。</w:t>
            </w:r>
          </w:p>
          <w:p w14:paraId="00F86C55">
            <w:pPr>
              <w:spacing w:line="360" w:lineRule="auto"/>
              <w:rPr>
                <w:rFonts w:ascii="宋体" w:hAnsi="宋体"/>
                <w:color w:val="auto"/>
                <w:szCs w:val="21"/>
                <w:highlight w:val="none"/>
              </w:rPr>
            </w:pPr>
            <w:r>
              <w:rPr>
                <w:rFonts w:hint="eastAsia" w:ascii="宋体" w:hAnsi="宋体"/>
                <w:color w:val="auto"/>
                <w:szCs w:val="21"/>
                <w:highlight w:val="none"/>
              </w:rPr>
              <w:t>4、以联合体形式参加政府采购活动，联合体各方均为中小企业的，联合体视同中小企业。其中，联合体各方均为小微企业的，联合体视同小微企业。</w:t>
            </w:r>
          </w:p>
          <w:p w14:paraId="66973D27">
            <w:pPr>
              <w:spacing w:line="360" w:lineRule="auto"/>
              <w:rPr>
                <w:rFonts w:ascii="宋体" w:hAnsi="宋体"/>
                <w:color w:val="auto"/>
                <w:szCs w:val="21"/>
                <w:highlight w:val="none"/>
              </w:rPr>
            </w:pPr>
            <w:r>
              <w:rPr>
                <w:rFonts w:hint="eastAsia" w:ascii="宋体" w:hAnsi="宋体"/>
                <w:color w:val="auto"/>
                <w:szCs w:val="21"/>
                <w:highlight w:val="none"/>
              </w:rPr>
              <w:t>5、接受大中型企业与小微企业组成联合体或者允许大中型企业向一家或者多家小微企业分包的采购项目，对于联合协议或者分包意向协议约定小微企业的合同份额占到合同总金额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30%以上的，采购人、采购代理机构应当对联合体或者大中型企业的报价给予4%（</w:t>
            </w:r>
            <w:r>
              <w:rPr>
                <w:rFonts w:hint="eastAsia" w:ascii="宋体" w:hAnsi="宋体"/>
                <w:color w:val="auto"/>
                <w:szCs w:val="21"/>
                <w:highlight w:val="none"/>
                <w:lang w:val="en-US" w:eastAsia="zh-CN"/>
              </w:rPr>
              <w:t>4</w:t>
            </w: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%）的扣除，用扣除后的价格参加评审。组成联合体或者接受分包的小微企业与联合体内其他企业、分包企业之间存在直接控股、管理关系的，不享受价格扣除优惠政策。</w:t>
            </w:r>
          </w:p>
          <w:p w14:paraId="0B675407">
            <w:pPr>
              <w:spacing w:line="360" w:lineRule="auto"/>
              <w:rPr>
                <w:rFonts w:ascii="宋体" w:hAnsi="宋体"/>
                <w:color w:val="auto"/>
                <w:szCs w:val="21"/>
                <w:highlight w:val="none"/>
              </w:rPr>
            </w:pPr>
            <w:r>
              <w:rPr>
                <w:rFonts w:hint="eastAsia" w:ascii="宋体" w:hAnsi="宋体"/>
                <w:color w:val="auto"/>
                <w:szCs w:val="21"/>
                <w:highlight w:val="none"/>
              </w:rPr>
              <w:t>6、提供由省级以上监狱管理局、戒毒管理局（含新疆生产建设兵团）出具的属于监狱企业证明文件的，视同为小型和微型企业。</w:t>
            </w:r>
          </w:p>
          <w:p w14:paraId="5FE1C0DF">
            <w:pPr>
              <w:spacing w:line="360" w:lineRule="auto"/>
              <w:rPr>
                <w:rFonts w:ascii="宋体" w:hAnsi="宋体"/>
                <w:color w:val="auto"/>
                <w:szCs w:val="21"/>
                <w:highlight w:val="none"/>
              </w:rPr>
            </w:pPr>
            <w:r>
              <w:rPr>
                <w:rFonts w:hint="eastAsia" w:ascii="宋体" w:hAnsi="宋体"/>
                <w:color w:val="auto"/>
                <w:szCs w:val="21"/>
                <w:highlight w:val="none"/>
              </w:rPr>
              <w:t>7、符合享受政府采购支持政策的残疾人福利性单位条件且提供《残疾人福利性单位声明函》的，视同为小型和微型企业。</w:t>
            </w:r>
          </w:p>
        </w:tc>
      </w:tr>
      <w:tr w14:paraId="24A94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06" w:type="dxa"/>
            <w:vAlign w:val="center"/>
          </w:tcPr>
          <w:p w14:paraId="760F0242">
            <w:pPr>
              <w:spacing w:line="360" w:lineRule="auto"/>
              <w:rPr>
                <w:rFonts w:ascii="宋体" w:hAnsi="宋体"/>
                <w:color w:val="auto"/>
                <w:szCs w:val="21"/>
                <w:highlight w:val="none"/>
              </w:rPr>
            </w:pPr>
          </w:p>
        </w:tc>
        <w:tc>
          <w:tcPr>
            <w:tcW w:w="2268" w:type="dxa"/>
            <w:vAlign w:val="center"/>
          </w:tcPr>
          <w:p w14:paraId="6EA3B1D6">
            <w:pPr>
              <w:spacing w:line="360" w:lineRule="auto"/>
              <w:jc w:val="center"/>
              <w:rPr>
                <w:rFonts w:ascii="宋体" w:hAnsi="宋体"/>
                <w:color w:val="auto"/>
                <w:szCs w:val="21"/>
                <w:highlight w:val="none"/>
                <w:lang w:val="zh-CN"/>
              </w:rPr>
            </w:pPr>
            <w:r>
              <w:rPr>
                <w:rFonts w:hint="eastAsia" w:ascii="宋体" w:hAnsi="宋体"/>
                <w:color w:val="auto"/>
                <w:szCs w:val="21"/>
                <w:highlight w:val="none"/>
              </w:rPr>
              <w:t>有关节能产品问题</w:t>
            </w:r>
          </w:p>
        </w:tc>
        <w:tc>
          <w:tcPr>
            <w:tcW w:w="6804" w:type="dxa"/>
          </w:tcPr>
          <w:p w14:paraId="34A67CC7">
            <w:pPr>
              <w:spacing w:line="360" w:lineRule="auto"/>
              <w:rPr>
                <w:rFonts w:ascii="宋体" w:hAnsi="宋体"/>
                <w:color w:val="auto"/>
                <w:szCs w:val="21"/>
                <w:highlight w:val="none"/>
              </w:rPr>
            </w:pPr>
            <w:r>
              <w:rPr>
                <w:rFonts w:hint="eastAsia" w:ascii="宋体" w:hAnsi="宋体"/>
                <w:color w:val="auto"/>
                <w:szCs w:val="21"/>
                <w:highlight w:val="none"/>
              </w:rPr>
              <w:t>执行《财政部发展改革委 生态环境部 市场监管总局关于调整优化节能产品、环境标志产品政府采购执行机制的通知》（财库〔2019〕9号）、关 于印发节能产品政府采购品目清单的通知（财库〔2019〕19号）、关于印 发环境标志产品政府采购品目清单的通知（财库〔2019〕18号）、市场监 管总局关于发布参与实施政府采购节能产品、环境标志产品认证机构名录的公告（2019年第16号），本次投标产品类别属于政府强制采购产品类 别的，须按照要求提供依据国家确定的认证机构出具的、处于有效期之内的节能产品、环境标志产品认证证书，否则投标无效；属于政府优先采购产品类别的，须按照要求提供依据国家确定的认证机构出具的、处于有效期之内的节能产品、环境标志产品认证证书，否则不予认定。</w:t>
            </w:r>
          </w:p>
        </w:tc>
      </w:tr>
    </w:tbl>
    <w:p w14:paraId="08D3B4F1">
      <w:pPr>
        <w:jc w:val="center"/>
        <w:rPr>
          <w:rFonts w:ascii="宋体" w:hAnsi="宋体"/>
          <w:b/>
          <w:color w:val="auto"/>
          <w:kern w:val="0"/>
          <w:sz w:val="32"/>
          <w:szCs w:val="32"/>
          <w:highlight w:val="none"/>
        </w:rPr>
      </w:pPr>
      <w:r>
        <w:rPr>
          <w:rFonts w:hint="eastAsia" w:ascii="宋体" w:hAnsi="宋体"/>
          <w:b/>
          <w:color w:val="auto"/>
          <w:kern w:val="0"/>
          <w:sz w:val="32"/>
          <w:szCs w:val="32"/>
          <w:highlight w:val="none"/>
        </w:rPr>
        <w:br w:type="page"/>
      </w:r>
      <w:r>
        <w:rPr>
          <w:rFonts w:hint="eastAsia" w:ascii="宋体" w:hAnsi="宋体"/>
          <w:b/>
          <w:color w:val="auto"/>
          <w:kern w:val="0"/>
          <w:sz w:val="32"/>
          <w:szCs w:val="32"/>
          <w:highlight w:val="none"/>
        </w:rPr>
        <w:t>第四章 供应商须知</w:t>
      </w:r>
    </w:p>
    <w:p w14:paraId="76490C04">
      <w:pPr>
        <w:tabs>
          <w:tab w:val="left" w:pos="1260"/>
        </w:tabs>
        <w:autoSpaceDE w:val="0"/>
        <w:autoSpaceDN w:val="0"/>
        <w:adjustRightInd w:val="0"/>
        <w:spacing w:line="360" w:lineRule="auto"/>
        <w:contextualSpacing/>
        <w:jc w:val="center"/>
        <w:rPr>
          <w:rFonts w:ascii="宋体" w:hAnsi="宋体"/>
          <w:b/>
          <w:color w:val="auto"/>
          <w:kern w:val="0"/>
          <w:sz w:val="28"/>
          <w:szCs w:val="28"/>
          <w:highlight w:val="none"/>
        </w:rPr>
      </w:pPr>
    </w:p>
    <w:p w14:paraId="13D7FE80">
      <w:pPr>
        <w:tabs>
          <w:tab w:val="left" w:pos="1260"/>
        </w:tabs>
        <w:autoSpaceDE w:val="0"/>
        <w:autoSpaceDN w:val="0"/>
        <w:adjustRightInd w:val="0"/>
        <w:spacing w:line="360" w:lineRule="auto"/>
        <w:contextualSpacing/>
        <w:jc w:val="center"/>
        <w:rPr>
          <w:rFonts w:ascii="宋体" w:hAnsi="宋体"/>
          <w:b/>
          <w:color w:val="auto"/>
          <w:kern w:val="0"/>
          <w:szCs w:val="21"/>
          <w:highlight w:val="none"/>
        </w:rPr>
      </w:pPr>
      <w:r>
        <w:rPr>
          <w:rFonts w:hint="eastAsia" w:ascii="宋体" w:hAnsi="宋体"/>
          <w:b/>
          <w:color w:val="auto"/>
          <w:kern w:val="0"/>
          <w:szCs w:val="21"/>
          <w:highlight w:val="none"/>
        </w:rPr>
        <w:t>一、概念释义</w:t>
      </w:r>
    </w:p>
    <w:p w14:paraId="4E6229D5">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适用范围</w:t>
      </w:r>
    </w:p>
    <w:p w14:paraId="788E3807">
      <w:pPr>
        <w:pStyle w:val="43"/>
        <w:numPr>
          <w:ilvl w:val="0"/>
          <w:numId w:val="8"/>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本磋商文件仅适用于本次“采购邀请”</w:t>
      </w:r>
      <w:r>
        <w:rPr>
          <w:rFonts w:hint="eastAsia" w:ascii="宋体" w:hAnsi="宋体"/>
          <w:color w:val="auto"/>
          <w:szCs w:val="21"/>
          <w:highlight w:val="none"/>
        </w:rPr>
        <w:t xml:space="preserve"> 和“供应商须知前附表”中所述采购项目的采购。</w:t>
      </w:r>
    </w:p>
    <w:p w14:paraId="705A4EB0">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本磋商文件解释权属于“采购邀请”</w:t>
      </w:r>
      <w:r>
        <w:rPr>
          <w:rFonts w:hint="eastAsia" w:ascii="宋体" w:hAnsi="宋体"/>
          <w:color w:val="auto"/>
          <w:szCs w:val="21"/>
          <w:highlight w:val="none"/>
        </w:rPr>
        <w:t xml:space="preserve"> 和“供应商须知前附表”</w:t>
      </w:r>
      <w:r>
        <w:rPr>
          <w:rFonts w:hint="eastAsia" w:ascii="宋体" w:hAnsi="宋体"/>
          <w:color w:val="auto"/>
          <w:kern w:val="0"/>
          <w:szCs w:val="21"/>
          <w:highlight w:val="none"/>
        </w:rPr>
        <w:t>所述的采购人、集中采购机构。</w:t>
      </w:r>
    </w:p>
    <w:p w14:paraId="6DB9EBC8">
      <w:pPr>
        <w:pStyle w:val="43"/>
        <w:autoSpaceDE w:val="0"/>
        <w:autoSpaceDN w:val="0"/>
        <w:spacing w:line="360" w:lineRule="auto"/>
        <w:ind w:left="780" w:firstLine="0" w:firstLineChars="0"/>
        <w:contextualSpacing/>
        <w:rPr>
          <w:rFonts w:ascii="宋体" w:hAnsi="宋体"/>
          <w:color w:val="auto"/>
          <w:kern w:val="0"/>
          <w:szCs w:val="21"/>
          <w:highlight w:val="none"/>
        </w:rPr>
      </w:pPr>
    </w:p>
    <w:p w14:paraId="0A016866">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定义</w:t>
      </w:r>
    </w:p>
    <w:p w14:paraId="045E61AE">
      <w:pPr>
        <w:pStyle w:val="43"/>
        <w:numPr>
          <w:ilvl w:val="0"/>
          <w:numId w:val="8"/>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“采购项目”：</w:t>
      </w:r>
      <w:r>
        <w:rPr>
          <w:rFonts w:hint="eastAsia" w:ascii="宋体" w:hAnsi="宋体"/>
          <w:color w:val="auto"/>
          <w:szCs w:val="21"/>
          <w:highlight w:val="none"/>
        </w:rPr>
        <w:t xml:space="preserve"> 系指</w:t>
      </w:r>
      <w:r>
        <w:rPr>
          <w:rFonts w:hint="eastAsia" w:ascii="宋体" w:hAnsi="宋体"/>
          <w:color w:val="auto"/>
          <w:kern w:val="0"/>
          <w:szCs w:val="21"/>
          <w:highlight w:val="none"/>
        </w:rPr>
        <w:t>“供应商须知前附表”中所述的采购项目。</w:t>
      </w:r>
    </w:p>
    <w:p w14:paraId="62641F12">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“采购人、集中采购机构”：</w:t>
      </w:r>
      <w:r>
        <w:rPr>
          <w:rFonts w:hint="eastAsia" w:ascii="宋体" w:hAnsi="宋体"/>
          <w:color w:val="auto"/>
          <w:szCs w:val="21"/>
          <w:highlight w:val="none"/>
        </w:rPr>
        <w:t>系指“供应商须知前附表”中所述的组织本次采购的集中采购机构和采购人。</w:t>
      </w:r>
    </w:p>
    <w:p w14:paraId="15D1CF04">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szCs w:val="21"/>
          <w:highlight w:val="none"/>
        </w:rPr>
        <w:t xml:space="preserve">    “供应商”系指从采购人、集中采购机构处按规定获取磋商文件，并按照磋商文件向采购人、集中采购机构提交响应文件的供应商。</w:t>
      </w:r>
    </w:p>
    <w:p w14:paraId="70BFB3E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szCs w:val="21"/>
          <w:highlight w:val="none"/>
        </w:rPr>
        <w:t xml:space="preserve">    “成交供应商”系指成交的供应商。</w:t>
      </w:r>
    </w:p>
    <w:p w14:paraId="7492F11F">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szCs w:val="21"/>
          <w:highlight w:val="none"/>
        </w:rPr>
        <w:t xml:space="preserve">    “甲方”系指采购人。</w:t>
      </w:r>
    </w:p>
    <w:p w14:paraId="042D1E17">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szCs w:val="21"/>
          <w:highlight w:val="none"/>
        </w:rPr>
        <w:t xml:space="preserve">    “乙方”系指成交并向采购人提供服务的供应商。</w:t>
      </w:r>
    </w:p>
    <w:p w14:paraId="13358A8A">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szCs w:val="21"/>
          <w:highlight w:val="none"/>
        </w:rPr>
        <w:t xml:space="preserve">    “服务”系指磋商文件规定的供应商为完成采购项目所需承担的全部义务。</w:t>
      </w:r>
    </w:p>
    <w:p w14:paraId="70A183DB">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“进口产品”：是指通过中国海关报关验放进入中国境内且产自关境外的产品，包括已经进入中国境内的进口产品。详见《</w:t>
      </w:r>
      <w:r>
        <w:rPr>
          <w:rFonts w:ascii="宋体" w:hAnsi="宋体"/>
          <w:color w:val="auto"/>
          <w:kern w:val="0"/>
          <w:szCs w:val="21"/>
          <w:highlight w:val="none"/>
        </w:rPr>
        <w:t>关于政府采购进口产品管理有关问题的通知</w:t>
      </w:r>
      <w:r>
        <w:rPr>
          <w:rFonts w:hint="eastAsia" w:ascii="宋体" w:hAnsi="宋体"/>
          <w:color w:val="auto"/>
          <w:kern w:val="0"/>
          <w:szCs w:val="21"/>
          <w:highlight w:val="none"/>
        </w:rPr>
        <w:t>》(财库[2007]119号)、《关于政府采购进口产品管理有关问题的通知》（财办库［</w:t>
      </w:r>
      <w:r>
        <w:rPr>
          <w:rFonts w:ascii="宋体" w:hAnsi="宋体"/>
          <w:color w:val="auto"/>
          <w:kern w:val="0"/>
          <w:szCs w:val="21"/>
          <w:highlight w:val="none"/>
        </w:rPr>
        <w:t>2008</w:t>
      </w:r>
      <w:r>
        <w:rPr>
          <w:rFonts w:hint="eastAsia" w:ascii="宋体" w:hAnsi="宋体"/>
          <w:color w:val="auto"/>
          <w:kern w:val="0"/>
          <w:szCs w:val="21"/>
          <w:highlight w:val="none"/>
        </w:rPr>
        <w:t>］</w:t>
      </w:r>
      <w:r>
        <w:rPr>
          <w:rFonts w:ascii="宋体" w:hAnsi="宋体"/>
          <w:color w:val="auto"/>
          <w:kern w:val="0"/>
          <w:szCs w:val="21"/>
          <w:highlight w:val="none"/>
        </w:rPr>
        <w:t xml:space="preserve">248 </w:t>
      </w:r>
      <w:r>
        <w:rPr>
          <w:rFonts w:hint="eastAsia" w:ascii="宋体" w:hAnsi="宋体"/>
          <w:color w:val="auto"/>
          <w:kern w:val="0"/>
          <w:szCs w:val="21"/>
          <w:highlight w:val="none"/>
        </w:rPr>
        <w:t>号）。</w:t>
      </w:r>
    </w:p>
    <w:p w14:paraId="4D73ADA2">
      <w:pPr>
        <w:autoSpaceDE w:val="0"/>
        <w:autoSpaceDN w:val="0"/>
        <w:spacing w:line="360" w:lineRule="auto"/>
        <w:ind w:left="1804" w:hanging="1804"/>
        <w:contextualSpacing/>
        <w:jc w:val="left"/>
        <w:rPr>
          <w:rFonts w:ascii="宋体" w:hAnsi="宋体"/>
          <w:color w:val="auto"/>
          <w:kern w:val="0"/>
          <w:szCs w:val="21"/>
          <w:highlight w:val="none"/>
        </w:rPr>
      </w:pPr>
      <w:r>
        <w:rPr>
          <w:rFonts w:hint="eastAsia" w:ascii="宋体" w:hAnsi="宋体"/>
          <w:color w:val="auto"/>
          <w:kern w:val="0"/>
          <w:szCs w:val="21"/>
          <w:highlight w:val="none"/>
        </w:rPr>
        <w:t>2.8.1    磋商</w:t>
      </w:r>
      <w:r>
        <w:rPr>
          <w:rFonts w:ascii="宋体" w:hAnsi="宋体"/>
          <w:color w:val="auto"/>
          <w:kern w:val="0"/>
          <w:szCs w:val="21"/>
          <w:highlight w:val="none"/>
        </w:rPr>
        <w:t>文件列明不允许或未列明允许进口产品参加</w:t>
      </w:r>
      <w:r>
        <w:rPr>
          <w:rFonts w:hint="eastAsia" w:ascii="宋体" w:hAnsi="宋体"/>
          <w:color w:val="auto"/>
          <w:kern w:val="0"/>
          <w:szCs w:val="21"/>
          <w:highlight w:val="none"/>
        </w:rPr>
        <w:t>响应</w:t>
      </w:r>
      <w:r>
        <w:rPr>
          <w:rFonts w:ascii="宋体" w:hAnsi="宋体"/>
          <w:color w:val="auto"/>
          <w:kern w:val="0"/>
          <w:szCs w:val="21"/>
          <w:highlight w:val="none"/>
        </w:rPr>
        <w:t>的，均视为拒绝进口产品参加</w:t>
      </w:r>
      <w:r>
        <w:rPr>
          <w:rFonts w:hint="eastAsia" w:ascii="宋体" w:hAnsi="宋体"/>
          <w:color w:val="auto"/>
          <w:kern w:val="0"/>
          <w:szCs w:val="21"/>
          <w:highlight w:val="none"/>
        </w:rPr>
        <w:t>响应</w:t>
      </w:r>
      <w:r>
        <w:rPr>
          <w:rFonts w:ascii="宋体" w:hAnsi="宋体"/>
          <w:color w:val="auto"/>
          <w:kern w:val="0"/>
          <w:szCs w:val="21"/>
          <w:highlight w:val="none"/>
        </w:rPr>
        <w:t>。</w:t>
      </w:r>
    </w:p>
    <w:p w14:paraId="7EDBDA35">
      <w:pPr>
        <w:autoSpaceDE w:val="0"/>
        <w:autoSpaceDN w:val="0"/>
        <w:spacing w:line="360" w:lineRule="auto"/>
        <w:ind w:left="993" w:hanging="993"/>
        <w:contextualSpacing/>
        <w:rPr>
          <w:rFonts w:ascii="宋体" w:hAnsi="宋体"/>
          <w:color w:val="auto"/>
          <w:kern w:val="0"/>
          <w:szCs w:val="21"/>
          <w:highlight w:val="none"/>
        </w:rPr>
      </w:pPr>
      <w:r>
        <w:rPr>
          <w:rFonts w:hint="eastAsia" w:ascii="宋体" w:hAnsi="宋体"/>
          <w:color w:val="auto"/>
          <w:kern w:val="0"/>
          <w:szCs w:val="21"/>
          <w:highlight w:val="none"/>
        </w:rPr>
        <w:t xml:space="preserve">2.8.2    </w:t>
      </w:r>
      <w:r>
        <w:rPr>
          <w:rFonts w:ascii="宋体" w:hAnsi="宋体"/>
          <w:color w:val="auto"/>
          <w:kern w:val="0"/>
          <w:szCs w:val="21"/>
          <w:highlight w:val="none"/>
        </w:rPr>
        <w:t>如</w:t>
      </w:r>
      <w:r>
        <w:rPr>
          <w:rFonts w:hint="eastAsia" w:ascii="宋体" w:hAnsi="宋体"/>
          <w:color w:val="auto"/>
          <w:kern w:val="0"/>
          <w:szCs w:val="21"/>
          <w:highlight w:val="none"/>
        </w:rPr>
        <w:t>响应</w:t>
      </w:r>
      <w:r>
        <w:rPr>
          <w:rFonts w:ascii="宋体" w:hAnsi="宋体"/>
          <w:color w:val="auto"/>
          <w:kern w:val="0"/>
          <w:szCs w:val="21"/>
          <w:highlight w:val="none"/>
        </w:rPr>
        <w:t>文件中已说明，经财政部门审核同意，允许部分或全部产品采购进口产品，</w:t>
      </w:r>
      <w:r>
        <w:rPr>
          <w:rFonts w:hint="eastAsia" w:ascii="宋体" w:hAnsi="宋体"/>
          <w:color w:val="auto"/>
          <w:kern w:val="0"/>
          <w:szCs w:val="21"/>
          <w:highlight w:val="none"/>
        </w:rPr>
        <w:t>供应商</w:t>
      </w:r>
      <w:r>
        <w:rPr>
          <w:rFonts w:ascii="宋体" w:hAnsi="宋体"/>
          <w:color w:val="auto"/>
          <w:kern w:val="0"/>
          <w:szCs w:val="21"/>
          <w:highlight w:val="none"/>
        </w:rPr>
        <w:t>既可提供本国产品，也可以提供进口产品。</w:t>
      </w:r>
    </w:p>
    <w:p w14:paraId="22F84D4A">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磋商文件中凡标有“★”的条款均系实质性要求条款。</w:t>
      </w:r>
    </w:p>
    <w:p w14:paraId="38B4A423">
      <w:pPr>
        <w:pStyle w:val="43"/>
        <w:autoSpaceDE w:val="0"/>
        <w:autoSpaceDN w:val="0"/>
        <w:spacing w:line="360" w:lineRule="auto"/>
        <w:ind w:left="964" w:firstLine="0" w:firstLineChars="0"/>
        <w:contextualSpacing/>
        <w:rPr>
          <w:rFonts w:ascii="宋体" w:hAnsi="宋体"/>
          <w:color w:val="auto"/>
          <w:kern w:val="0"/>
          <w:szCs w:val="21"/>
          <w:highlight w:val="none"/>
        </w:rPr>
      </w:pPr>
    </w:p>
    <w:p w14:paraId="3C42E423">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合格的供应商</w:t>
      </w:r>
    </w:p>
    <w:p w14:paraId="74F216EE">
      <w:pPr>
        <w:pStyle w:val="43"/>
        <w:numPr>
          <w:ilvl w:val="0"/>
          <w:numId w:val="8"/>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在中华人民共和国境内注册，具有本项目生产、制造、供应或实施能力，符合、承认并承诺履行本磋商文件各项规定的法人、其他组织或者自然人。</w:t>
      </w:r>
    </w:p>
    <w:p w14:paraId="31C7B2AE">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符合本项目“采购邀请”和“供应商须知前附表”中规定的合格供应商所必须具备的条件。</w:t>
      </w:r>
    </w:p>
    <w:p w14:paraId="30C5ED01">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政府采购活动中查询及使用响应人信用记录的具体要求为：响应人未被列入失信被执行人、税收违法黑名单、政府采购严重违法失信行为记录名单、严重违法失信社会组织名单。</w:t>
      </w:r>
    </w:p>
    <w:p w14:paraId="6E3EA21B">
      <w:pPr>
        <w:pStyle w:val="43"/>
        <w:numPr>
          <w:ilvl w:val="0"/>
          <w:numId w:val="9"/>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查询渠道：“信用中国”网站（</w:t>
      </w:r>
      <w:r>
        <w:rPr>
          <w:rFonts w:ascii="宋体" w:hAnsi="宋体"/>
          <w:color w:val="auto"/>
          <w:kern w:val="0"/>
          <w:szCs w:val="21"/>
          <w:highlight w:val="none"/>
        </w:rPr>
        <w:t>www.creditchina.gov.cn</w:t>
      </w:r>
      <w:r>
        <w:rPr>
          <w:rFonts w:hint="eastAsia" w:ascii="宋体" w:hAnsi="宋体"/>
          <w:color w:val="auto"/>
          <w:kern w:val="0"/>
          <w:szCs w:val="21"/>
          <w:highlight w:val="none"/>
        </w:rPr>
        <w:t>）、“中国政府采购网”（</w:t>
      </w:r>
      <w:r>
        <w:rPr>
          <w:rFonts w:ascii="宋体" w:hAnsi="宋体"/>
          <w:color w:val="auto"/>
          <w:kern w:val="0"/>
          <w:szCs w:val="21"/>
          <w:highlight w:val="none"/>
        </w:rPr>
        <w:t>www.ccgp.gov.cn</w:t>
      </w:r>
      <w:r>
        <w:rPr>
          <w:rFonts w:hint="eastAsia" w:ascii="宋体" w:hAnsi="宋体"/>
          <w:color w:val="auto"/>
          <w:kern w:val="0"/>
          <w:szCs w:val="21"/>
          <w:highlight w:val="none"/>
        </w:rPr>
        <w:t>）、“中国社会组织公共服务平台”网站（</w:t>
      </w:r>
      <w:r>
        <w:rPr>
          <w:color w:val="auto"/>
          <w:highlight w:val="none"/>
        </w:rPr>
        <w:fldChar w:fldCharType="begin"/>
      </w:r>
      <w:r>
        <w:rPr>
          <w:color w:val="auto"/>
          <w:highlight w:val="none"/>
        </w:rPr>
        <w:instrText xml:space="preserve"> HYPERLINK "http://www.chinanpo.gov.cn" </w:instrText>
      </w:r>
      <w:r>
        <w:rPr>
          <w:color w:val="auto"/>
          <w:highlight w:val="none"/>
        </w:rPr>
        <w:fldChar w:fldCharType="separate"/>
      </w:r>
      <w:r>
        <w:rPr>
          <w:rStyle w:val="36"/>
          <w:rFonts w:ascii="宋体" w:hAnsi="宋体"/>
          <w:color w:val="auto"/>
          <w:kern w:val="0"/>
          <w:szCs w:val="21"/>
          <w:highlight w:val="none"/>
        </w:rPr>
        <w:t>www.chinanpo.gov.cn</w:t>
      </w:r>
      <w:r>
        <w:rPr>
          <w:rStyle w:val="36"/>
          <w:rFonts w:ascii="宋体" w:hAnsi="宋体"/>
          <w:color w:val="auto"/>
          <w:kern w:val="0"/>
          <w:szCs w:val="21"/>
          <w:highlight w:val="none"/>
        </w:rPr>
        <w:fldChar w:fldCharType="end"/>
      </w:r>
      <w:r>
        <w:rPr>
          <w:rFonts w:hint="eastAsia" w:ascii="宋体" w:hAnsi="宋体"/>
          <w:color w:val="auto"/>
          <w:kern w:val="0"/>
          <w:szCs w:val="21"/>
          <w:highlight w:val="none"/>
        </w:rPr>
        <w:t>）。</w:t>
      </w:r>
    </w:p>
    <w:p w14:paraId="4CA09B20">
      <w:pPr>
        <w:pStyle w:val="43"/>
        <w:numPr>
          <w:ilvl w:val="0"/>
          <w:numId w:val="10"/>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截止时间：同响应截止时间。</w:t>
      </w:r>
    </w:p>
    <w:p w14:paraId="3EE5C577">
      <w:pPr>
        <w:pStyle w:val="43"/>
        <w:numPr>
          <w:ilvl w:val="0"/>
          <w:numId w:val="11"/>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信用信息查询记录和证据留存具体方式：经采购人确认的查询结果网页截图作为查询记录和证据，与其他采购文件一并保存。</w:t>
      </w:r>
    </w:p>
    <w:p w14:paraId="4298D3C0">
      <w:pPr>
        <w:pStyle w:val="43"/>
        <w:numPr>
          <w:ilvl w:val="0"/>
          <w:numId w:val="12"/>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信用信息的使用原则：经采购人认定的被列入失信被执行人、税收违法黑名单、政府采购严重违法失信行为记录名单、严重违法失信社会组织名单的响应人，将拒绝其参与本次政府采购活动。</w:t>
      </w:r>
    </w:p>
    <w:p w14:paraId="305EE4C0">
      <w:pPr>
        <w:pStyle w:val="43"/>
        <w:numPr>
          <w:ilvl w:val="0"/>
          <w:numId w:val="13"/>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供应商无须提供</w:t>
      </w:r>
      <w:r>
        <w:rPr>
          <w:rFonts w:hint="eastAsia" w:ascii="宋体" w:hAnsi="宋体" w:cs="微软雅黑"/>
          <w:bCs/>
          <w:color w:val="auto"/>
          <w:szCs w:val="21"/>
          <w:highlight w:val="none"/>
        </w:rPr>
        <w:t>信用记录查询结果网页截屏。</w:t>
      </w:r>
      <w:r>
        <w:rPr>
          <w:rFonts w:hint="eastAsia" w:ascii="宋体" w:hAnsi="宋体"/>
          <w:color w:val="auto"/>
          <w:kern w:val="0"/>
          <w:szCs w:val="21"/>
          <w:highlight w:val="none"/>
        </w:rPr>
        <w:t>供应商不良信用记录以采购人查询结果</w:t>
      </w:r>
    </w:p>
    <w:p w14:paraId="30A2C4CD">
      <w:pPr>
        <w:pStyle w:val="43"/>
        <w:autoSpaceDE w:val="0"/>
        <w:autoSpaceDN w:val="0"/>
        <w:spacing w:line="360" w:lineRule="auto"/>
        <w:ind w:left="955" w:leftChars="455" w:firstLine="0" w:firstLineChars="0"/>
        <w:contextualSpacing/>
        <w:rPr>
          <w:rFonts w:ascii="宋体" w:hAnsi="宋体"/>
          <w:color w:val="auto"/>
          <w:kern w:val="0"/>
          <w:szCs w:val="21"/>
          <w:highlight w:val="none"/>
        </w:rPr>
      </w:pPr>
      <w:r>
        <w:rPr>
          <w:rFonts w:hint="eastAsia" w:ascii="宋体" w:hAnsi="宋体"/>
          <w:color w:val="auto"/>
          <w:kern w:val="0"/>
          <w:szCs w:val="21"/>
          <w:highlight w:val="none"/>
        </w:rPr>
        <w:t>为准，采购人查询之后，网站信息发生的任何变更不再作为评审依据，供应商自行提供的与网站信息不一致的其他证明材料亦不作为评审依据。</w:t>
      </w:r>
    </w:p>
    <w:p w14:paraId="1A6C7C77">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单位负责人为同一人或者存在直接控股、管理关系的不同供应商，不得同时参加本项目磋商。违反规定的，相关响应均无效。</w:t>
      </w:r>
    </w:p>
    <w:p w14:paraId="40672184">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为采购项目提供整体设计、规范编制或者项目管理、监理、检测等服务的供应商，不得再参加该采购项目的其他采购活动。</w:t>
      </w:r>
    </w:p>
    <w:p w14:paraId="68B372EB">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“采购邀请”和“供应商须知前附表”规定接受联合体响应的，除应符合本章第</w:t>
      </w:r>
      <w:r>
        <w:rPr>
          <w:rFonts w:ascii="宋体" w:hAnsi="宋体"/>
          <w:color w:val="auto"/>
          <w:kern w:val="0"/>
          <w:szCs w:val="21"/>
          <w:highlight w:val="none"/>
        </w:rPr>
        <w:t>3.1</w:t>
      </w:r>
      <w:r>
        <w:rPr>
          <w:rFonts w:hint="eastAsia" w:ascii="宋体" w:hAnsi="宋体"/>
          <w:color w:val="auto"/>
          <w:kern w:val="0"/>
          <w:szCs w:val="21"/>
          <w:highlight w:val="none"/>
        </w:rPr>
        <w:t>项和3.2项要求外，还应遵守以下规定：</w:t>
      </w:r>
    </w:p>
    <w:p w14:paraId="48F96EEB">
      <w:pPr>
        <w:pStyle w:val="43"/>
        <w:numPr>
          <w:ilvl w:val="0"/>
          <w:numId w:val="14"/>
        </w:numPr>
        <w:autoSpaceDE w:val="0"/>
        <w:autoSpaceDN w:val="0"/>
        <w:spacing w:line="360" w:lineRule="auto"/>
        <w:ind w:hanging="1411" w:firstLineChars="0"/>
        <w:contextualSpacing/>
        <w:rPr>
          <w:rFonts w:ascii="宋体" w:hAnsi="宋体"/>
          <w:color w:val="auto"/>
          <w:kern w:val="0"/>
          <w:szCs w:val="21"/>
          <w:highlight w:val="none"/>
        </w:rPr>
      </w:pPr>
      <w:r>
        <w:rPr>
          <w:rFonts w:hint="eastAsia" w:ascii="宋体" w:hAnsi="宋体"/>
          <w:color w:val="auto"/>
          <w:kern w:val="0"/>
          <w:szCs w:val="21"/>
          <w:highlight w:val="none"/>
        </w:rPr>
        <w:t>在响应文件中向采购人提交联合体协议书，明确联合体各方承担的工作和义务；</w:t>
      </w:r>
    </w:p>
    <w:p w14:paraId="1C427767">
      <w:pPr>
        <w:pStyle w:val="43"/>
        <w:numPr>
          <w:ilvl w:val="0"/>
          <w:numId w:val="15"/>
        </w:numPr>
        <w:autoSpaceDE w:val="0"/>
        <w:autoSpaceDN w:val="0"/>
        <w:spacing w:line="360" w:lineRule="auto"/>
        <w:ind w:hanging="1411" w:firstLineChars="0"/>
        <w:contextualSpacing/>
        <w:rPr>
          <w:rFonts w:ascii="宋体" w:hAnsi="宋体"/>
          <w:color w:val="auto"/>
          <w:kern w:val="0"/>
          <w:szCs w:val="21"/>
          <w:highlight w:val="none"/>
        </w:rPr>
      </w:pPr>
      <w:r>
        <w:rPr>
          <w:rFonts w:hint="eastAsia" w:ascii="宋体" w:hAnsi="宋体"/>
          <w:color w:val="auto"/>
          <w:kern w:val="0"/>
          <w:szCs w:val="21"/>
          <w:highlight w:val="none"/>
        </w:rPr>
        <w:t>联合体中有同类资质的供应商按联合体分工承担相同工作的，应当按照资质等级较低的供应商确定资质等级；</w:t>
      </w:r>
    </w:p>
    <w:p w14:paraId="557C30DE">
      <w:pPr>
        <w:pStyle w:val="43"/>
        <w:numPr>
          <w:ilvl w:val="0"/>
          <w:numId w:val="16"/>
        </w:numPr>
        <w:autoSpaceDE w:val="0"/>
        <w:autoSpaceDN w:val="0"/>
        <w:spacing w:line="360" w:lineRule="auto"/>
        <w:ind w:hanging="1411" w:firstLineChars="0"/>
        <w:contextualSpacing/>
        <w:rPr>
          <w:rFonts w:ascii="宋体" w:hAnsi="宋体"/>
          <w:color w:val="auto"/>
          <w:kern w:val="0"/>
          <w:szCs w:val="21"/>
          <w:highlight w:val="none"/>
        </w:rPr>
      </w:pPr>
      <w:r>
        <w:rPr>
          <w:rFonts w:hint="eastAsia" w:ascii="宋体" w:hAnsi="宋体"/>
          <w:color w:val="auto"/>
          <w:kern w:val="0"/>
          <w:szCs w:val="21"/>
          <w:highlight w:val="none"/>
        </w:rPr>
        <w:t>采购人根据采购项目的特殊要求规定供应商特定条件的，联合体各方中至少应当有一方符合采购规定的特定条件。</w:t>
      </w:r>
    </w:p>
    <w:p w14:paraId="7C1BA000">
      <w:pPr>
        <w:pStyle w:val="43"/>
        <w:numPr>
          <w:ilvl w:val="0"/>
          <w:numId w:val="17"/>
        </w:numPr>
        <w:autoSpaceDE w:val="0"/>
        <w:autoSpaceDN w:val="0"/>
        <w:spacing w:line="360" w:lineRule="auto"/>
        <w:ind w:hanging="1411" w:firstLineChars="0"/>
        <w:contextualSpacing/>
        <w:rPr>
          <w:rFonts w:ascii="宋体" w:hAnsi="宋体"/>
          <w:color w:val="auto"/>
          <w:kern w:val="0"/>
          <w:szCs w:val="21"/>
          <w:highlight w:val="none"/>
        </w:rPr>
      </w:pPr>
      <w:r>
        <w:rPr>
          <w:rFonts w:hint="eastAsia" w:ascii="宋体" w:hAnsi="宋体"/>
          <w:color w:val="auto"/>
          <w:kern w:val="0"/>
          <w:szCs w:val="21"/>
          <w:highlight w:val="none"/>
        </w:rPr>
        <w:t>联合体各方不得再单独参加或者与其他供应商另外组成联合体参加同一合同项下的政府采购活动。</w:t>
      </w:r>
    </w:p>
    <w:p w14:paraId="340726ED">
      <w:pPr>
        <w:pStyle w:val="43"/>
        <w:numPr>
          <w:ilvl w:val="0"/>
          <w:numId w:val="18"/>
        </w:numPr>
        <w:autoSpaceDE w:val="0"/>
        <w:autoSpaceDN w:val="0"/>
        <w:spacing w:line="360" w:lineRule="auto"/>
        <w:ind w:hanging="1411" w:firstLineChars="0"/>
        <w:contextualSpacing/>
        <w:rPr>
          <w:rFonts w:ascii="宋体" w:hAnsi="宋体"/>
          <w:color w:val="auto"/>
          <w:kern w:val="0"/>
          <w:szCs w:val="21"/>
          <w:highlight w:val="none"/>
        </w:rPr>
      </w:pPr>
      <w:r>
        <w:rPr>
          <w:rFonts w:ascii="宋体" w:hAnsi="宋体"/>
          <w:color w:val="auto"/>
          <w:kern w:val="0"/>
          <w:szCs w:val="21"/>
          <w:highlight w:val="none"/>
        </w:rPr>
        <w:t>联合体各方应当共同与采购人签订采购合同，就采购合同约定的事项对采购人</w:t>
      </w:r>
      <w:r>
        <w:rPr>
          <w:color w:val="auto"/>
          <w:highlight w:val="none"/>
        </w:rPr>
        <w:fldChar w:fldCharType="begin"/>
      </w:r>
      <w:r>
        <w:rPr>
          <w:color w:val="auto"/>
          <w:highlight w:val="none"/>
        </w:rPr>
        <w:instrText xml:space="preserve"> HYPERLINK "https://baike.baidu.com/item/%E6%89%BF%E6%8B%85%E8%BF%9E%E5%B8%A6%E8%B4%A3%E4%BB%BB" \t "_blank" </w:instrText>
      </w:r>
      <w:r>
        <w:rPr>
          <w:color w:val="auto"/>
          <w:highlight w:val="none"/>
        </w:rPr>
        <w:fldChar w:fldCharType="separate"/>
      </w:r>
      <w:r>
        <w:rPr>
          <w:rFonts w:ascii="宋体" w:hAnsi="宋体"/>
          <w:color w:val="auto"/>
          <w:kern w:val="0"/>
          <w:szCs w:val="21"/>
          <w:highlight w:val="none"/>
        </w:rPr>
        <w:t>承担连带责任</w:t>
      </w:r>
      <w:r>
        <w:rPr>
          <w:rFonts w:ascii="宋体" w:hAnsi="宋体"/>
          <w:color w:val="auto"/>
          <w:kern w:val="0"/>
          <w:szCs w:val="21"/>
          <w:highlight w:val="none"/>
        </w:rPr>
        <w:fldChar w:fldCharType="end"/>
      </w:r>
      <w:r>
        <w:rPr>
          <w:rFonts w:ascii="宋体" w:hAnsi="宋体"/>
          <w:color w:val="auto"/>
          <w:kern w:val="0"/>
          <w:szCs w:val="21"/>
          <w:highlight w:val="none"/>
        </w:rPr>
        <w:t>。</w:t>
      </w:r>
    </w:p>
    <w:p w14:paraId="61AEC013">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法律、行政法规规定的其他条件。</w:t>
      </w:r>
    </w:p>
    <w:p w14:paraId="1B49DC36">
      <w:pPr>
        <w:pStyle w:val="43"/>
        <w:autoSpaceDE w:val="0"/>
        <w:autoSpaceDN w:val="0"/>
        <w:spacing w:line="360" w:lineRule="auto"/>
        <w:ind w:left="964" w:firstLine="0" w:firstLineChars="0"/>
        <w:contextualSpacing/>
        <w:rPr>
          <w:rFonts w:ascii="宋体" w:hAnsi="宋体"/>
          <w:color w:val="auto"/>
          <w:kern w:val="0"/>
          <w:szCs w:val="21"/>
          <w:highlight w:val="none"/>
        </w:rPr>
      </w:pPr>
    </w:p>
    <w:p w14:paraId="20D29D19">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合格的服务</w:t>
      </w:r>
    </w:p>
    <w:p w14:paraId="58987823">
      <w:pPr>
        <w:pStyle w:val="43"/>
        <w:numPr>
          <w:ilvl w:val="0"/>
          <w:numId w:val="8"/>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提供服务应当符合磋商文件的要求，并且其质量完全符合国家标准、行业标准或地方标准，均有标准的以高（严格）者为准。没有国家标准、行业标准和企业标准的，按照通常标准或者符合采购目的的特定标准确定。</w:t>
      </w:r>
    </w:p>
    <w:p w14:paraId="7785B355">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供应商所提供的服务应当没有侵犯任何第三方的知识产权、技术秘密等合法权利。</w:t>
      </w:r>
    </w:p>
    <w:p w14:paraId="50F87BE3">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如供应商所投产品被列入</w:t>
      </w:r>
      <w:r>
        <w:rPr>
          <w:rFonts w:ascii="宋体" w:hAnsi="宋体"/>
          <w:color w:val="auto"/>
          <w:kern w:val="0"/>
          <w:szCs w:val="21"/>
          <w:highlight w:val="none"/>
        </w:rPr>
        <w:t>《中华人民共和国实施强制性产品认证的产品目录》，</w:t>
      </w:r>
      <w:r>
        <w:rPr>
          <w:rFonts w:hint="eastAsia" w:ascii="宋体" w:hAnsi="宋体"/>
          <w:color w:val="auto"/>
          <w:kern w:val="0"/>
          <w:szCs w:val="21"/>
          <w:highlight w:val="none"/>
        </w:rPr>
        <w:t>则该产品应</w:t>
      </w:r>
      <w:r>
        <w:rPr>
          <w:rFonts w:ascii="宋体" w:hAnsi="宋体"/>
          <w:color w:val="auto"/>
          <w:kern w:val="0"/>
          <w:szCs w:val="21"/>
          <w:highlight w:val="none"/>
        </w:rPr>
        <w:t>具备国家认监委</w:t>
      </w:r>
      <w:r>
        <w:rPr>
          <w:rFonts w:hint="eastAsia" w:ascii="宋体" w:hAnsi="宋体"/>
          <w:color w:val="auto"/>
          <w:kern w:val="0"/>
          <w:szCs w:val="21"/>
          <w:highlight w:val="none"/>
        </w:rPr>
        <w:t>指定强制性产品认证机构</w:t>
      </w:r>
      <w:r>
        <w:rPr>
          <w:rFonts w:ascii="宋体" w:hAnsi="宋体"/>
          <w:color w:val="auto"/>
          <w:kern w:val="0"/>
          <w:szCs w:val="21"/>
          <w:highlight w:val="none"/>
        </w:rPr>
        <w:t>颁</w:t>
      </w:r>
      <w:r>
        <w:rPr>
          <w:rFonts w:hint="eastAsia" w:ascii="宋体" w:hAnsi="宋体"/>
          <w:color w:val="auto"/>
          <w:kern w:val="0"/>
          <w:szCs w:val="21"/>
          <w:highlight w:val="none"/>
        </w:rPr>
        <w:t>发的</w:t>
      </w:r>
      <w:r>
        <w:rPr>
          <w:rFonts w:ascii="宋体" w:hAnsi="宋体"/>
          <w:color w:val="auto"/>
          <w:kern w:val="0"/>
          <w:szCs w:val="21"/>
          <w:highlight w:val="none"/>
        </w:rPr>
        <w:t>《中国</w:t>
      </w:r>
      <w:r>
        <w:rPr>
          <w:rFonts w:hint="eastAsia" w:ascii="宋体" w:hAnsi="宋体"/>
          <w:color w:val="auto"/>
          <w:kern w:val="0"/>
          <w:szCs w:val="21"/>
          <w:highlight w:val="none"/>
        </w:rPr>
        <w:t>国家</w:t>
      </w:r>
      <w:r>
        <w:rPr>
          <w:rFonts w:ascii="宋体" w:hAnsi="宋体"/>
          <w:color w:val="auto"/>
          <w:kern w:val="0"/>
          <w:szCs w:val="21"/>
          <w:highlight w:val="none"/>
        </w:rPr>
        <w:t>强制</w:t>
      </w:r>
      <w:r>
        <w:rPr>
          <w:rFonts w:hint="eastAsia" w:ascii="宋体" w:hAnsi="宋体"/>
          <w:color w:val="auto"/>
          <w:kern w:val="0"/>
          <w:szCs w:val="21"/>
          <w:highlight w:val="none"/>
        </w:rPr>
        <w:t>性产品</w:t>
      </w:r>
      <w:r>
        <w:rPr>
          <w:rFonts w:ascii="宋体" w:hAnsi="宋体"/>
          <w:color w:val="auto"/>
          <w:kern w:val="0"/>
          <w:szCs w:val="21"/>
          <w:highlight w:val="none"/>
        </w:rPr>
        <w:t>认证</w:t>
      </w:r>
      <w:r>
        <w:rPr>
          <w:rFonts w:hint="eastAsia" w:ascii="宋体" w:hAnsi="宋体"/>
          <w:color w:val="auto"/>
          <w:kern w:val="0"/>
          <w:szCs w:val="21"/>
          <w:highlight w:val="none"/>
        </w:rPr>
        <w:t>证书</w:t>
      </w:r>
      <w:r>
        <w:rPr>
          <w:rFonts w:ascii="宋体" w:hAnsi="宋体"/>
          <w:color w:val="auto"/>
          <w:kern w:val="0"/>
          <w:szCs w:val="21"/>
          <w:highlight w:val="none"/>
        </w:rPr>
        <w:t>》（CCC 认证）。</w:t>
      </w:r>
      <w:r>
        <w:rPr>
          <w:rFonts w:hint="eastAsia" w:ascii="宋体" w:hAnsi="宋体"/>
          <w:color w:val="auto"/>
          <w:kern w:val="0"/>
          <w:szCs w:val="21"/>
          <w:highlight w:val="none"/>
        </w:rPr>
        <w:t>供应商</w:t>
      </w:r>
      <w:r>
        <w:rPr>
          <w:rFonts w:ascii="宋体" w:hAnsi="宋体"/>
          <w:color w:val="auto"/>
          <w:kern w:val="0"/>
          <w:szCs w:val="21"/>
          <w:highlight w:val="none"/>
        </w:rPr>
        <w:t>不能提供超出此目录范畴外的替代品</w:t>
      </w:r>
      <w:r>
        <w:rPr>
          <w:rFonts w:hint="eastAsia" w:ascii="宋体" w:hAnsi="宋体"/>
          <w:color w:val="auto"/>
          <w:kern w:val="0"/>
          <w:szCs w:val="21"/>
          <w:highlight w:val="none"/>
        </w:rPr>
        <w:t>。</w:t>
      </w:r>
    </w:p>
    <w:p w14:paraId="76446C91">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供应商所投产品如被列入</w:t>
      </w:r>
      <w:r>
        <w:rPr>
          <w:rFonts w:ascii="宋体" w:hAnsi="宋体"/>
          <w:color w:val="auto"/>
          <w:kern w:val="0"/>
          <w:szCs w:val="21"/>
          <w:highlight w:val="none"/>
        </w:rPr>
        <w:t>《信息安全产品强制性认证目录》，</w:t>
      </w:r>
      <w:r>
        <w:rPr>
          <w:rFonts w:hint="eastAsia" w:ascii="宋体" w:hAnsi="宋体"/>
          <w:color w:val="auto"/>
          <w:kern w:val="0"/>
          <w:szCs w:val="21"/>
          <w:highlight w:val="none"/>
        </w:rPr>
        <w:t>则该产品应</w:t>
      </w:r>
      <w:r>
        <w:rPr>
          <w:rFonts w:ascii="宋体" w:hAnsi="宋体"/>
          <w:color w:val="auto"/>
          <w:kern w:val="0"/>
          <w:szCs w:val="21"/>
          <w:highlight w:val="none"/>
        </w:rPr>
        <w:t>具备</w:t>
      </w:r>
      <w:r>
        <w:rPr>
          <w:rFonts w:hint="eastAsia" w:ascii="宋体" w:hAnsi="宋体"/>
          <w:color w:val="auto"/>
          <w:kern w:val="0"/>
          <w:szCs w:val="21"/>
          <w:highlight w:val="none"/>
        </w:rPr>
        <w:t>中国信息安全认证中心</w:t>
      </w:r>
      <w:r>
        <w:rPr>
          <w:rFonts w:ascii="宋体" w:hAnsi="宋体"/>
          <w:color w:val="auto"/>
          <w:kern w:val="0"/>
          <w:szCs w:val="21"/>
          <w:highlight w:val="none"/>
        </w:rPr>
        <w:t>颁</w:t>
      </w:r>
      <w:r>
        <w:rPr>
          <w:rFonts w:hint="eastAsia" w:ascii="宋体" w:hAnsi="宋体"/>
          <w:color w:val="auto"/>
          <w:kern w:val="0"/>
          <w:szCs w:val="21"/>
          <w:highlight w:val="none"/>
        </w:rPr>
        <w:t>发的</w:t>
      </w:r>
      <w:r>
        <w:rPr>
          <w:rFonts w:ascii="宋体" w:hAnsi="宋体"/>
          <w:color w:val="auto"/>
          <w:kern w:val="0"/>
          <w:szCs w:val="21"/>
          <w:highlight w:val="none"/>
        </w:rPr>
        <w:t>《</w:t>
      </w:r>
      <w:r>
        <w:rPr>
          <w:color w:val="auto"/>
          <w:highlight w:val="none"/>
        </w:rPr>
        <w:fldChar w:fldCharType="begin"/>
      </w:r>
      <w:r>
        <w:rPr>
          <w:color w:val="auto"/>
          <w:highlight w:val="none"/>
        </w:rPr>
        <w:instrText xml:space="preserve"> HYPERLINK "http://www.cnca.gov.cn/cnca/zwxx/ggxx/images/2010/07/19/A6C32D2A507AC2A38326896013A67542.doc" \t "_blank" </w:instrText>
      </w:r>
      <w:r>
        <w:rPr>
          <w:color w:val="auto"/>
          <w:highlight w:val="none"/>
        </w:rPr>
        <w:fldChar w:fldCharType="separate"/>
      </w:r>
      <w:r>
        <w:rPr>
          <w:rFonts w:hint="eastAsia" w:ascii="宋体" w:hAnsi="宋体"/>
          <w:color w:val="auto"/>
          <w:kern w:val="0"/>
          <w:szCs w:val="21"/>
          <w:highlight w:val="none"/>
        </w:rPr>
        <w:t>中国国家信息安全产品认证证书</w:t>
      </w:r>
      <w:r>
        <w:rPr>
          <w:rFonts w:hint="eastAsia" w:ascii="宋体" w:hAnsi="宋体"/>
          <w:color w:val="auto"/>
          <w:kern w:val="0"/>
          <w:szCs w:val="21"/>
          <w:highlight w:val="none"/>
        </w:rPr>
        <w:fldChar w:fldCharType="end"/>
      </w:r>
      <w:r>
        <w:rPr>
          <w:rFonts w:ascii="宋体" w:hAnsi="宋体"/>
          <w:color w:val="auto"/>
          <w:kern w:val="0"/>
          <w:szCs w:val="21"/>
          <w:highlight w:val="none"/>
        </w:rPr>
        <w:t>》。</w:t>
      </w:r>
      <w:r>
        <w:rPr>
          <w:rFonts w:hint="eastAsia" w:ascii="宋体" w:hAnsi="宋体"/>
          <w:color w:val="auto"/>
          <w:kern w:val="0"/>
          <w:szCs w:val="21"/>
          <w:highlight w:val="none"/>
        </w:rPr>
        <w:t>供应商</w:t>
      </w:r>
      <w:r>
        <w:rPr>
          <w:rFonts w:ascii="宋体" w:hAnsi="宋体"/>
          <w:color w:val="auto"/>
          <w:kern w:val="0"/>
          <w:szCs w:val="21"/>
          <w:highlight w:val="none"/>
        </w:rPr>
        <w:t>不能提供超出此目录范畴外的替代品</w:t>
      </w:r>
      <w:r>
        <w:rPr>
          <w:rFonts w:hint="eastAsia" w:ascii="宋体" w:hAnsi="宋体"/>
          <w:color w:val="auto"/>
          <w:kern w:val="0"/>
          <w:szCs w:val="21"/>
          <w:highlight w:val="none"/>
        </w:rPr>
        <w:t>。</w:t>
      </w:r>
    </w:p>
    <w:p w14:paraId="082536A9">
      <w:pPr>
        <w:pStyle w:val="43"/>
        <w:autoSpaceDE w:val="0"/>
        <w:autoSpaceDN w:val="0"/>
        <w:spacing w:line="360" w:lineRule="auto"/>
        <w:ind w:left="964" w:firstLine="0" w:firstLineChars="0"/>
        <w:contextualSpacing/>
        <w:rPr>
          <w:rFonts w:ascii="宋体" w:hAnsi="宋体"/>
          <w:color w:val="auto"/>
          <w:kern w:val="0"/>
          <w:szCs w:val="21"/>
          <w:highlight w:val="none"/>
        </w:rPr>
      </w:pPr>
    </w:p>
    <w:p w14:paraId="48F51923">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磋商费用</w:t>
      </w:r>
    </w:p>
    <w:p w14:paraId="792B3713">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不论采购的结果如何，供应商均应自行承担所有与磋商有关的全部费用，采购人、集中采购机构在任何情况下均无义务和责任承担这些费用。</w:t>
      </w:r>
    </w:p>
    <w:p w14:paraId="61DFD387">
      <w:pPr>
        <w:autoSpaceDE w:val="0"/>
        <w:autoSpaceDN w:val="0"/>
        <w:spacing w:line="360" w:lineRule="auto"/>
        <w:ind w:left="964"/>
        <w:contextualSpacing/>
        <w:rPr>
          <w:rFonts w:ascii="宋体" w:hAnsi="宋体"/>
          <w:color w:val="auto"/>
          <w:kern w:val="0"/>
          <w:szCs w:val="21"/>
          <w:highlight w:val="none"/>
        </w:rPr>
      </w:pPr>
    </w:p>
    <w:p w14:paraId="2AB18F98">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信息发布</w:t>
      </w:r>
    </w:p>
    <w:p w14:paraId="71849A71">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本采购项目需要公开的有关信息，包括磋商公告、磋商文件澄清或修改公告、成交公告以及延长响应文件提交截止时间等与采购活动有关的通知，采购人、集中采购机构均将通过</w:t>
      </w:r>
      <w:r>
        <w:rPr>
          <w:rFonts w:hint="eastAsia" w:ascii="宋体" w:hAnsi="宋体" w:eastAsia="宋体" w:cs="宋体"/>
          <w:color w:val="auto"/>
          <w:szCs w:val="21"/>
          <w:highlight w:val="none"/>
        </w:rPr>
        <w:t>在《中国招标投标公共服务平台》、《新点交易平台》、《</w:t>
      </w:r>
      <w:r>
        <w:rPr>
          <w:rFonts w:hint="eastAsia" w:ascii="宋体" w:hAnsi="宋体" w:eastAsia="宋体" w:cs="宋体"/>
          <w:color w:val="auto"/>
          <w:szCs w:val="21"/>
          <w:highlight w:val="none"/>
          <w:lang w:val="en-US" w:eastAsia="zh-CN"/>
        </w:rPr>
        <w:t>河南省电子</w:t>
      </w:r>
      <w:r>
        <w:rPr>
          <w:rFonts w:hint="eastAsia" w:ascii="宋体" w:hAnsi="宋体" w:eastAsia="宋体" w:cs="宋体"/>
          <w:color w:val="auto"/>
          <w:szCs w:val="21"/>
          <w:highlight w:val="none"/>
        </w:rPr>
        <w:t>招标投标公共服务平台》、许</w:t>
      </w:r>
      <w:r>
        <w:rPr>
          <w:rFonts w:hint="eastAsia" w:ascii="宋体" w:hAnsi="宋体"/>
          <w:color w:val="auto"/>
          <w:szCs w:val="21"/>
          <w:highlight w:val="none"/>
        </w:rPr>
        <w:t>昌市投资集团有限公司官网</w:t>
      </w:r>
      <w:r>
        <w:rPr>
          <w:rFonts w:hint="eastAsia"/>
          <w:color w:val="auto"/>
          <w:szCs w:val="21"/>
          <w:highlight w:val="none"/>
        </w:rPr>
        <w:t>上</w:t>
      </w:r>
      <w:r>
        <w:rPr>
          <w:rFonts w:hint="eastAsia" w:ascii="宋体" w:hAnsi="宋体"/>
          <w:color w:val="auto"/>
          <w:kern w:val="0"/>
          <w:szCs w:val="21"/>
          <w:highlight w:val="none"/>
        </w:rPr>
        <w:t>公开发布。供应商在参与本采购项目采购活动期间，请及时关注以上媒体上的相关信息，供应商因没有及时关注而未能如期获取相关信息，及因此所产生的一切后果和责任，由供应商自行承担，采购人、集中采购机构在任何情况下均不对此承担任何责任。</w:t>
      </w:r>
    </w:p>
    <w:p w14:paraId="744BEDAE">
      <w:pPr>
        <w:autoSpaceDE w:val="0"/>
        <w:autoSpaceDN w:val="0"/>
        <w:spacing w:line="360" w:lineRule="auto"/>
        <w:ind w:left="964"/>
        <w:contextualSpacing/>
        <w:rPr>
          <w:rFonts w:ascii="宋体" w:hAnsi="宋体"/>
          <w:color w:val="auto"/>
          <w:kern w:val="0"/>
          <w:szCs w:val="21"/>
          <w:highlight w:val="none"/>
        </w:rPr>
      </w:pPr>
    </w:p>
    <w:p w14:paraId="5177793E">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代理费用</w:t>
      </w:r>
    </w:p>
    <w:p w14:paraId="4EDF6A6A">
      <w:pPr>
        <w:pStyle w:val="43"/>
        <w:autoSpaceDE w:val="0"/>
        <w:autoSpaceDN w:val="0"/>
        <w:spacing w:line="360" w:lineRule="auto"/>
        <w:ind w:left="964" w:firstLine="0" w:firstLineChars="0"/>
        <w:contextualSpacing/>
        <w:rPr>
          <w:rFonts w:ascii="宋体" w:hAnsi="宋体"/>
          <w:color w:val="auto"/>
          <w:kern w:val="0"/>
          <w:szCs w:val="21"/>
          <w:highlight w:val="none"/>
        </w:rPr>
      </w:pPr>
      <w:r>
        <w:rPr>
          <w:rFonts w:hint="eastAsia"/>
          <w:color w:val="auto"/>
          <w:szCs w:val="21"/>
          <w:highlight w:val="none"/>
        </w:rPr>
        <w:t>采购代理费计取为参照计价格〔2002〕1980 号及国家发展和改革委员会《发改办价格〔2003〕 857 号》 文件规定的收费标准，由中标人支付给采购代理机构。</w:t>
      </w:r>
    </w:p>
    <w:p w14:paraId="0A8699B4">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其他</w:t>
      </w:r>
    </w:p>
    <w:p w14:paraId="564C5714">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本“供应商须知”的条款如与“采购邀请”、“采购需求”、“供应商须知前附表”和“竞争性磋商程序及评审方法”就同一内容的表述不一致的，以“采购邀请”、“ 采购需求”、“供应商须知前附表”和“竞争性磋商程序及评审方法”中规定的内容为准。</w:t>
      </w:r>
    </w:p>
    <w:p w14:paraId="0CCCCC81">
      <w:pPr>
        <w:tabs>
          <w:tab w:val="left" w:pos="1260"/>
        </w:tabs>
        <w:autoSpaceDE w:val="0"/>
        <w:autoSpaceDN w:val="0"/>
        <w:spacing w:line="360" w:lineRule="auto"/>
        <w:contextualSpacing/>
        <w:jc w:val="center"/>
        <w:rPr>
          <w:rFonts w:ascii="宋体" w:hAnsi="宋体"/>
          <w:b/>
          <w:color w:val="auto"/>
          <w:kern w:val="0"/>
          <w:szCs w:val="21"/>
          <w:highlight w:val="none"/>
        </w:rPr>
      </w:pPr>
      <w:r>
        <w:rPr>
          <w:rFonts w:hint="eastAsia" w:ascii="宋体" w:hAnsi="宋体"/>
          <w:b/>
          <w:color w:val="auto"/>
          <w:kern w:val="0"/>
          <w:szCs w:val="21"/>
          <w:highlight w:val="none"/>
        </w:rPr>
        <w:t>二、磋商文件说明</w:t>
      </w:r>
    </w:p>
    <w:p w14:paraId="0EE3E7B2">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磋商文件构成</w:t>
      </w:r>
    </w:p>
    <w:p w14:paraId="23A54FE9">
      <w:pPr>
        <w:pStyle w:val="43"/>
        <w:numPr>
          <w:ilvl w:val="0"/>
          <w:numId w:val="19"/>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磋商文件由以下部分组成：</w:t>
      </w:r>
    </w:p>
    <w:p w14:paraId="69B2E366">
      <w:pPr>
        <w:pStyle w:val="43"/>
        <w:numPr>
          <w:ilvl w:val="0"/>
          <w:numId w:val="20"/>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采购邀请（竞争性磋商公告）</w:t>
      </w:r>
    </w:p>
    <w:p w14:paraId="7A17E7BA">
      <w:pPr>
        <w:pStyle w:val="43"/>
        <w:numPr>
          <w:ilvl w:val="0"/>
          <w:numId w:val="21"/>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采购需求</w:t>
      </w:r>
    </w:p>
    <w:p w14:paraId="3692F4CC">
      <w:pPr>
        <w:pStyle w:val="43"/>
        <w:numPr>
          <w:ilvl w:val="0"/>
          <w:numId w:val="22"/>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供应商须知前附表</w:t>
      </w:r>
    </w:p>
    <w:p w14:paraId="34C37B91">
      <w:pPr>
        <w:pStyle w:val="43"/>
        <w:numPr>
          <w:ilvl w:val="0"/>
          <w:numId w:val="23"/>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供应商须知</w:t>
      </w:r>
    </w:p>
    <w:p w14:paraId="635D0C77">
      <w:pPr>
        <w:pStyle w:val="43"/>
        <w:numPr>
          <w:ilvl w:val="0"/>
          <w:numId w:val="24"/>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政府采购政策功能</w:t>
      </w:r>
    </w:p>
    <w:p w14:paraId="3790C73E">
      <w:pPr>
        <w:pStyle w:val="43"/>
        <w:numPr>
          <w:ilvl w:val="0"/>
          <w:numId w:val="25"/>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评审程序和评审标准</w:t>
      </w:r>
    </w:p>
    <w:p w14:paraId="3EDB815A">
      <w:pPr>
        <w:pStyle w:val="43"/>
        <w:numPr>
          <w:ilvl w:val="0"/>
          <w:numId w:val="26"/>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合同书格式及合同条款</w:t>
      </w:r>
    </w:p>
    <w:p w14:paraId="77A8BD1D">
      <w:pPr>
        <w:pStyle w:val="43"/>
        <w:numPr>
          <w:ilvl w:val="0"/>
          <w:numId w:val="27"/>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响应文件有关格式</w:t>
      </w:r>
    </w:p>
    <w:p w14:paraId="083E8F01">
      <w:pPr>
        <w:pStyle w:val="43"/>
        <w:numPr>
          <w:ilvl w:val="0"/>
          <w:numId w:val="28"/>
        </w:numPr>
        <w:autoSpaceDE w:val="0"/>
        <w:autoSpaceDN w:val="0"/>
        <w:spacing w:line="360" w:lineRule="auto"/>
        <w:ind w:firstLineChars="0"/>
        <w:contextualSpacing/>
        <w:rPr>
          <w:rFonts w:ascii="宋体" w:hAnsi="宋体"/>
          <w:color w:val="auto"/>
          <w:kern w:val="0"/>
          <w:szCs w:val="21"/>
          <w:highlight w:val="none"/>
        </w:rPr>
      </w:pPr>
      <w:r>
        <w:rPr>
          <w:rFonts w:hint="eastAsia" w:ascii="宋体" w:hAnsi="宋体"/>
          <w:color w:val="auto"/>
          <w:kern w:val="0"/>
          <w:szCs w:val="21"/>
          <w:highlight w:val="none"/>
        </w:rPr>
        <w:t>本项目磋商文件的澄清、答复、修改、补充内容（如有的话）</w:t>
      </w:r>
    </w:p>
    <w:p w14:paraId="0D34A817">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认真阅读、并充分理解磋商文件的全部内容（包括所有的补充、修改内容、重要事项、格式、条款和技术规范、参数及要求等），按磋商文件要求和规定编制响应文件，并保证所提供的全部资料的真实性，否则有可能导致响应被拒绝，其风险由供应商自行承担。</w:t>
      </w:r>
    </w:p>
    <w:p w14:paraId="1D8AA11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认真了解本次采购的具体工作要求、工作范围以及职责，了解一切可能影响响应报价的资料。一经成交，不得以不完全了解项目要求、项目情况等为借口而提出额外补偿等要求，否则，由此引起的一切后果由成交供应商负责。</w:t>
      </w:r>
    </w:p>
    <w:p w14:paraId="55624A51">
      <w:pPr>
        <w:pStyle w:val="43"/>
        <w:autoSpaceDE w:val="0"/>
        <w:autoSpaceDN w:val="0"/>
        <w:spacing w:line="360" w:lineRule="auto"/>
        <w:ind w:left="964" w:firstLine="0" w:firstLineChars="0"/>
        <w:contextualSpacing/>
        <w:rPr>
          <w:rFonts w:ascii="宋体" w:hAnsi="宋体"/>
          <w:color w:val="auto"/>
          <w:kern w:val="0"/>
          <w:szCs w:val="21"/>
          <w:highlight w:val="none"/>
        </w:rPr>
      </w:pPr>
    </w:p>
    <w:p w14:paraId="7EFCA4CC">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现场考察、磋商前答疑会</w:t>
      </w:r>
    </w:p>
    <w:p w14:paraId="228058E6">
      <w:pPr>
        <w:pStyle w:val="43"/>
        <w:numPr>
          <w:ilvl w:val="0"/>
          <w:numId w:val="19"/>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采购人根据采购项目的具体情况，可以在磋商文件公告期满后，组织已获取磋商文件的供应商现场考察或者召开磋商前答疑会。</w:t>
      </w:r>
    </w:p>
    <w:p w14:paraId="78E6F55E">
      <w:pPr>
        <w:autoSpaceDE w:val="0"/>
        <w:autoSpaceDN w:val="0"/>
        <w:spacing w:line="360" w:lineRule="auto"/>
        <w:ind w:left="964" w:firstLine="29"/>
        <w:contextualSpacing/>
        <w:rPr>
          <w:rFonts w:ascii="宋体" w:hAnsi="宋体"/>
          <w:color w:val="auto"/>
          <w:kern w:val="0"/>
          <w:szCs w:val="21"/>
          <w:highlight w:val="none"/>
        </w:rPr>
      </w:pPr>
      <w:r>
        <w:rPr>
          <w:rFonts w:hint="eastAsia" w:ascii="宋体" w:hAnsi="宋体"/>
          <w:color w:val="auto"/>
          <w:kern w:val="0"/>
          <w:szCs w:val="21"/>
          <w:highlight w:val="none"/>
        </w:rPr>
        <w:t>采购人组织现场考察或者召开磋商前答疑会的，所有供应商应按“供应商须知前附表”规定的时间、地点前往参加现场考察或者磋商前答疑会。供应商如不参加，其风险由供应商自行承担，采购人、集中采购机构不承担任何责任。</w:t>
      </w:r>
    </w:p>
    <w:p w14:paraId="4B8542E1">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组织现场考察或者召开答疑会的，应当在磋商文件中载明，或者在磋商文件公告期满后在财政部门指定的政府采购信息发布媒体和《中国招标投标公共服务平台》、《新点交易平台》、《河南省电子招标投标公共服务平台》</w:t>
      </w:r>
      <w:r>
        <w:rPr>
          <w:rFonts w:hint="eastAsia" w:ascii="宋体" w:hAnsi="宋体" w:cs="宋体"/>
          <w:color w:val="auto"/>
          <w:szCs w:val="21"/>
          <w:highlight w:val="none"/>
        </w:rPr>
        <w:t>、许昌市投资集团有限公司官网</w:t>
      </w:r>
      <w:r>
        <w:rPr>
          <w:rFonts w:hint="eastAsia" w:ascii="宋体" w:hAnsi="宋体"/>
          <w:color w:val="auto"/>
          <w:szCs w:val="21"/>
          <w:highlight w:val="none"/>
        </w:rPr>
        <w:t>上</w:t>
      </w:r>
      <w:r>
        <w:rPr>
          <w:rFonts w:hint="eastAsia" w:ascii="宋体" w:hAnsi="宋体"/>
          <w:color w:val="auto"/>
          <w:kern w:val="0"/>
          <w:szCs w:val="21"/>
          <w:highlight w:val="none"/>
        </w:rPr>
        <w:t>发布更正公告。</w:t>
      </w:r>
    </w:p>
    <w:p w14:paraId="7C325B9D">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在考察现场和磋商前答疑会口头介绍的情况，除采购人事后形成书面记录、并以澄清或修改公告的形式发布、构成磋商文件的组成部分以外，其他内容仅供供应商在编制响应文件时参考，采购人、集中采购机构不对供应商据此作出的判断和决策负责。</w:t>
      </w:r>
    </w:p>
    <w:p w14:paraId="32038AFC">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现场考察及参加磋商前答疑会所发生的费用及一切责任由供应商自行承担。</w:t>
      </w:r>
    </w:p>
    <w:p w14:paraId="65B98C22">
      <w:pPr>
        <w:autoSpaceDE w:val="0"/>
        <w:autoSpaceDN w:val="0"/>
        <w:spacing w:line="360" w:lineRule="auto"/>
        <w:ind w:left="420"/>
        <w:contextualSpacing/>
        <w:rPr>
          <w:rFonts w:ascii="宋体" w:hAnsi="宋体"/>
          <w:color w:val="auto"/>
          <w:kern w:val="0"/>
          <w:szCs w:val="21"/>
          <w:highlight w:val="none"/>
        </w:rPr>
      </w:pPr>
    </w:p>
    <w:p w14:paraId="2FE760BF">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磋商文件的澄清或修改</w:t>
      </w:r>
    </w:p>
    <w:p w14:paraId="47039FCA">
      <w:pPr>
        <w:pStyle w:val="43"/>
        <w:numPr>
          <w:ilvl w:val="0"/>
          <w:numId w:val="29"/>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在</w:t>
      </w:r>
      <w:r>
        <w:rPr>
          <w:rFonts w:hint="eastAsia" w:ascii="宋体" w:hAnsi="宋体" w:cs="仿宋_GB2312"/>
          <w:color w:val="auto"/>
          <w:szCs w:val="21"/>
          <w:highlight w:val="none"/>
        </w:rPr>
        <w:t>磋商响应截止时间</w:t>
      </w:r>
      <w:r>
        <w:rPr>
          <w:rFonts w:hint="eastAsia" w:ascii="宋体" w:hAnsi="宋体"/>
          <w:color w:val="auto"/>
          <w:kern w:val="0"/>
          <w:szCs w:val="21"/>
          <w:highlight w:val="none"/>
        </w:rPr>
        <w:t>前，无论出于何种原因，采购人可主动地或在解答供应商提出的澄清问题时对磋商文件进行修改。</w:t>
      </w:r>
    </w:p>
    <w:p w14:paraId="4712A94B">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集中采购机构可以对已发出的磋商文件进行必要的澄清或者修改。澄清或者修改的内容可能影响响应文件编制的，采购人将在响应文件提交截止之日5日前，在财政部门指定的政府采购信息发布媒体和《中国招标投标公共服务平台》、《新点交易平台》、《河南省电子招标投标公共服务平台》</w:t>
      </w:r>
      <w:r>
        <w:rPr>
          <w:rFonts w:hint="eastAsia" w:ascii="宋体" w:hAnsi="宋体" w:cs="宋体"/>
          <w:color w:val="auto"/>
          <w:szCs w:val="21"/>
          <w:highlight w:val="none"/>
        </w:rPr>
        <w:t>、许昌市投资集团有限公司官网</w:t>
      </w:r>
      <w:r>
        <w:rPr>
          <w:rFonts w:hint="eastAsia" w:ascii="宋体" w:hAnsi="宋体"/>
          <w:color w:val="auto"/>
          <w:kern w:val="0"/>
          <w:szCs w:val="21"/>
          <w:highlight w:val="none"/>
        </w:rPr>
        <w:t>发布更正公告。</w:t>
      </w:r>
    </w:p>
    <w:p w14:paraId="51A4623B">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澄清或修改公告的内容为磋商文件的组成部分，并对供应商具有约束力。当磋商文件与澄清或修改公告就同一内容的表述不一致时，以最后发出的文件内容为准。</w:t>
      </w:r>
    </w:p>
    <w:p w14:paraId="213D9F4A">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如果澄清或者修改发出的时间距规定的磋商响应截止时间不足5日的，采购人、集中采购机构将顺延提交响应文件的截止时间。</w:t>
      </w:r>
    </w:p>
    <w:p w14:paraId="16B4B70B">
      <w:pPr>
        <w:autoSpaceDE w:val="0"/>
        <w:autoSpaceDN w:val="0"/>
        <w:spacing w:line="360" w:lineRule="auto"/>
        <w:contextualSpacing/>
        <w:rPr>
          <w:rFonts w:ascii="宋体" w:hAnsi="宋体"/>
          <w:color w:val="auto"/>
          <w:kern w:val="0"/>
          <w:szCs w:val="21"/>
          <w:highlight w:val="none"/>
        </w:rPr>
      </w:pPr>
    </w:p>
    <w:p w14:paraId="50C82D30">
      <w:pPr>
        <w:tabs>
          <w:tab w:val="left" w:pos="1260"/>
        </w:tabs>
        <w:autoSpaceDE w:val="0"/>
        <w:autoSpaceDN w:val="0"/>
        <w:spacing w:line="360" w:lineRule="auto"/>
        <w:contextualSpacing/>
        <w:jc w:val="center"/>
        <w:rPr>
          <w:rFonts w:ascii="宋体" w:hAnsi="宋体"/>
          <w:b/>
          <w:color w:val="auto"/>
          <w:kern w:val="0"/>
          <w:szCs w:val="21"/>
          <w:highlight w:val="none"/>
        </w:rPr>
      </w:pPr>
      <w:r>
        <w:rPr>
          <w:rFonts w:hint="eastAsia" w:ascii="宋体" w:hAnsi="宋体"/>
          <w:b/>
          <w:color w:val="auto"/>
          <w:kern w:val="0"/>
          <w:szCs w:val="21"/>
          <w:highlight w:val="none"/>
        </w:rPr>
        <w:t>三、响应文件的编制</w:t>
      </w:r>
    </w:p>
    <w:p w14:paraId="32F76955">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响应文件的语言及计量单位</w:t>
      </w:r>
    </w:p>
    <w:p w14:paraId="4211493A">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供应商提交的响应文件以及供应商与采购人、集中采购机构就有关采购事宜的所有来往书面文件均应使用中文。除签名、盖章、专用名称等特殊情形外，以中文以外的文字表述的响应文件视同未提供。</w:t>
      </w:r>
    </w:p>
    <w:p w14:paraId="500C235E">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响应文件计量单位，磋商文件已有明确规定的，使用磋商文件规定的计量单位；磋商文件没有规定的，一律采用中华人民共和国法定计量单位。</w:t>
      </w:r>
    </w:p>
    <w:p w14:paraId="7A4EDA67">
      <w:pPr>
        <w:pStyle w:val="43"/>
        <w:autoSpaceDE w:val="0"/>
        <w:autoSpaceDN w:val="0"/>
        <w:spacing w:line="360" w:lineRule="auto"/>
        <w:ind w:left="964" w:firstLine="0" w:firstLineChars="0"/>
        <w:contextualSpacing/>
        <w:rPr>
          <w:rFonts w:ascii="宋体" w:hAnsi="宋体"/>
          <w:color w:val="auto"/>
          <w:kern w:val="0"/>
          <w:szCs w:val="21"/>
          <w:highlight w:val="none"/>
        </w:rPr>
      </w:pPr>
    </w:p>
    <w:p w14:paraId="64CEE887">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报价</w:t>
      </w:r>
    </w:p>
    <w:p w14:paraId="19BC3E3A">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本次磋商项目的投标均以人民币为计算单位。</w:t>
      </w:r>
    </w:p>
    <w:p w14:paraId="669DF4D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采购人不得向供应商索要或者接受其给予的赠品、回扣或者与采购无关的其他商品、服务。</w:t>
      </w:r>
    </w:p>
    <w:p w14:paraId="35326FA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供应商应对项目要求的全部内容进行报价，少报漏报将导致其响应为非实质性响应予以拒绝。</w:t>
      </w:r>
    </w:p>
    <w:p w14:paraId="75E0C323">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当按照国家相关规定，结合自身服务水平和承受能力进行报价。响应报价应是履行合同的最终价格，除“采购需求”中另有说明外，响应报价应当是供应商为提供本项目所要求的全部服务所发生的一切成本、税费和利润，包括人工（含工资、社会统筹保险金、加班工资、工作餐、相关福利、关于人员聘用的费用等）、设备、国家规定检测、外发包、材料（含辅材）、管理、税费及利润等。</w:t>
      </w:r>
      <w:r>
        <w:rPr>
          <w:rFonts w:hint="eastAsia" w:ascii="宋体" w:hAnsi="宋体"/>
          <w:color w:val="auto"/>
          <w:szCs w:val="21"/>
          <w:highlight w:val="none"/>
        </w:rPr>
        <w:t>经通知参加磋商的供应商，在磋商结束后还有一次最终报价的机会。</w:t>
      </w:r>
    </w:p>
    <w:p w14:paraId="4917645E">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本项目所涉及的运输、施工、安装、集成</w:t>
      </w:r>
      <w:r>
        <w:rPr>
          <w:rFonts w:hint="eastAsia" w:ascii="宋体" w:hAnsi="宋体" w:eastAsia="宋体" w:cs="Times New Roman"/>
          <w:color w:val="auto"/>
          <w:kern w:val="0"/>
          <w:szCs w:val="21"/>
          <w:highlight w:val="none"/>
        </w:rPr>
        <w:t>、调试、验收、备品和工具等费用</w:t>
      </w:r>
      <w:r>
        <w:rPr>
          <w:rFonts w:hint="eastAsia" w:ascii="宋体" w:hAnsi="宋体"/>
          <w:color w:val="auto"/>
          <w:kern w:val="0"/>
          <w:szCs w:val="21"/>
          <w:highlight w:val="none"/>
        </w:rPr>
        <w:t>均包含在响应报价中。</w:t>
      </w:r>
    </w:p>
    <w:p w14:paraId="7E02E063">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报价不得高于本项目预算金额，且不低于成本价。供应商的响应报价高于预算金额（项目控制金额上限）的，该供应商的响应文件将被视为非实质性响应予以拒绝。</w:t>
      </w:r>
    </w:p>
    <w:p w14:paraId="6FAA5292">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最低报价不能作为中标的保证。</w:t>
      </w:r>
    </w:p>
    <w:p w14:paraId="10127A36">
      <w:pPr>
        <w:autoSpaceDE w:val="0"/>
        <w:autoSpaceDN w:val="0"/>
        <w:spacing w:line="360" w:lineRule="auto"/>
        <w:ind w:left="420"/>
        <w:contextualSpacing/>
        <w:rPr>
          <w:rFonts w:ascii="宋体" w:hAnsi="宋体"/>
          <w:color w:val="auto"/>
          <w:kern w:val="0"/>
          <w:szCs w:val="21"/>
          <w:highlight w:val="none"/>
        </w:rPr>
      </w:pPr>
    </w:p>
    <w:p w14:paraId="58AFE4CD">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响应文件有效期</w:t>
      </w:r>
    </w:p>
    <w:p w14:paraId="54CCE59B">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有效期从提交响应文件的截止之日起算。本项目投标有效期详见供应商须知前附表。响应文件中承诺的响应有效期应当不少于“供应商须知前附表”载明的响应有效期。投响应有效期比磋商文件规定短的属于非实质性响应，将被认定为无效投标。</w:t>
      </w:r>
    </w:p>
    <w:p w14:paraId="790B757F">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响应有效期内供应商撤销响应文件的，供应商将承担违背投标承诺函的责任追究。</w:t>
      </w:r>
    </w:p>
    <w:p w14:paraId="51E1A3F9">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w:t>
      </w:r>
      <w:r>
        <w:rPr>
          <w:rFonts w:hint="eastAsia" w:cs="微软雅黑"/>
          <w:color w:val="auto"/>
          <w:highlight w:val="none"/>
        </w:rPr>
        <w:t>可根据实际情况，在原报价有效期截止之前，征询供应商是否同意延长响应文件的有效期，供应商同意延长的须作出书面答复。在延长的报价有效期内，供应商将不会被要求和允许修正其报价</w:t>
      </w:r>
      <w:r>
        <w:rPr>
          <w:rFonts w:hint="eastAsia" w:ascii="宋体" w:hAnsi="宋体"/>
          <w:color w:val="auto"/>
          <w:kern w:val="0"/>
          <w:szCs w:val="21"/>
          <w:highlight w:val="none"/>
        </w:rPr>
        <w:t>。</w:t>
      </w:r>
    </w:p>
    <w:p w14:paraId="7D572B94">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成交供应商的响应文件作为项目合同的附件，其有效期至成交供应商全部合同义务履行完毕为止。</w:t>
      </w:r>
    </w:p>
    <w:p w14:paraId="1C744450">
      <w:pPr>
        <w:pStyle w:val="43"/>
        <w:autoSpaceDE w:val="0"/>
        <w:autoSpaceDN w:val="0"/>
        <w:spacing w:line="360" w:lineRule="auto"/>
        <w:ind w:left="964" w:firstLine="0" w:firstLineChars="0"/>
        <w:contextualSpacing/>
        <w:rPr>
          <w:rFonts w:ascii="宋体" w:hAnsi="宋体"/>
          <w:color w:val="auto"/>
          <w:kern w:val="0"/>
          <w:szCs w:val="21"/>
          <w:highlight w:val="none"/>
        </w:rPr>
      </w:pPr>
    </w:p>
    <w:p w14:paraId="42FB672C">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响应文件构成</w:t>
      </w:r>
    </w:p>
    <w:p w14:paraId="1642BF41">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响应文件的构成应符合法律法规及磋商文件的要求。</w:t>
      </w:r>
    </w:p>
    <w:p w14:paraId="2609BACB">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供应商应当按照磋商文件的要求编制响应文件。响应文件应当对磋商文件提出的要求和条件作出明确响应。</w:t>
      </w:r>
    </w:p>
    <w:p w14:paraId="418631FD">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响应文件由资格证明材料、符合性证明材料、其它材料等组成。</w:t>
      </w:r>
    </w:p>
    <w:p w14:paraId="7FAB49B3">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供应商根据磋商文件的规定和采购项目的实际情况，拟在成交后将成交项目的非主体、非关键性工作分包的，应当在响应文件中载明分包承担主体，分包承担主体应当具备相应资质条件且不得再次分包。</w:t>
      </w:r>
    </w:p>
    <w:p w14:paraId="0A261CE1">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响应文件格式</w:t>
      </w:r>
    </w:p>
    <w:p w14:paraId="7103D9FC">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应参照磋商文件第八部分（响应文件有关格式）的内容要求、编排顺序和格式要求，供应商应按照以上要求将响应文件以A4幅面编上唯一的连贯页码，并在响应文件封面上注明：所投项目名称、项目编号、供应商名称、日期等字样。</w:t>
      </w:r>
    </w:p>
    <w:p w14:paraId="242EE7D2">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供应商应按磋商文件提供的格式编写响应文件。磋商文件未提供标准格式的供应商可自行拟定。</w:t>
      </w:r>
    </w:p>
    <w:p w14:paraId="6EA33B47">
      <w:pPr>
        <w:autoSpaceDE w:val="0"/>
        <w:autoSpaceDN w:val="0"/>
        <w:spacing w:line="360" w:lineRule="auto"/>
        <w:ind w:left="420"/>
        <w:contextualSpacing/>
        <w:rPr>
          <w:rFonts w:ascii="宋体" w:hAnsi="宋体"/>
          <w:color w:val="auto"/>
          <w:kern w:val="0"/>
          <w:szCs w:val="21"/>
          <w:highlight w:val="none"/>
        </w:rPr>
      </w:pPr>
    </w:p>
    <w:p w14:paraId="6276F7CB">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磋商保证金</w:t>
      </w:r>
    </w:p>
    <w:p w14:paraId="09193325">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本项目不收取磋商保证金。</w:t>
      </w:r>
    </w:p>
    <w:p w14:paraId="6D29825F">
      <w:pPr>
        <w:pStyle w:val="43"/>
        <w:autoSpaceDE w:val="0"/>
        <w:autoSpaceDN w:val="0"/>
        <w:spacing w:line="360" w:lineRule="auto"/>
        <w:ind w:left="964" w:firstLine="0" w:firstLineChars="0"/>
        <w:contextualSpacing/>
        <w:rPr>
          <w:rFonts w:ascii="宋体" w:hAnsi="宋体"/>
          <w:color w:val="auto"/>
          <w:kern w:val="0"/>
          <w:szCs w:val="21"/>
          <w:highlight w:val="none"/>
        </w:rPr>
      </w:pPr>
    </w:p>
    <w:p w14:paraId="79EF09AE">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响应文件的数量和签署盖章</w:t>
      </w:r>
    </w:p>
    <w:p w14:paraId="668C1C4B">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供应商应提交响应文件份数见“供应商须知前附表”。</w:t>
      </w:r>
    </w:p>
    <w:p w14:paraId="7651894E">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在磋商文件中已明示需盖章及签名之处，响应文件应按磋商文件要求加盖供应商印章和法人签字或授权代表签字。</w:t>
      </w:r>
    </w:p>
    <w:p w14:paraId="16E96736">
      <w:pPr>
        <w:tabs>
          <w:tab w:val="left" w:pos="1260"/>
        </w:tabs>
        <w:autoSpaceDE w:val="0"/>
        <w:autoSpaceDN w:val="0"/>
        <w:spacing w:line="360" w:lineRule="auto"/>
        <w:contextualSpacing/>
        <w:rPr>
          <w:rFonts w:ascii="宋体" w:hAnsi="宋体" w:cs="仿宋_GB2312"/>
          <w:color w:val="auto"/>
          <w:szCs w:val="21"/>
          <w:highlight w:val="none"/>
          <w:lang w:val="zh-CN"/>
        </w:rPr>
      </w:pPr>
    </w:p>
    <w:p w14:paraId="4931ED26">
      <w:pPr>
        <w:tabs>
          <w:tab w:val="left" w:pos="1260"/>
        </w:tabs>
        <w:autoSpaceDE w:val="0"/>
        <w:autoSpaceDN w:val="0"/>
        <w:spacing w:line="360" w:lineRule="auto"/>
        <w:contextualSpacing/>
        <w:jc w:val="center"/>
        <w:rPr>
          <w:rFonts w:ascii="宋体" w:hAnsi="宋体"/>
          <w:b/>
          <w:color w:val="auto"/>
          <w:kern w:val="0"/>
          <w:szCs w:val="21"/>
          <w:highlight w:val="none"/>
        </w:rPr>
      </w:pPr>
      <w:r>
        <w:rPr>
          <w:rFonts w:hint="eastAsia" w:ascii="宋体" w:hAnsi="宋体"/>
          <w:b/>
          <w:color w:val="auto"/>
          <w:kern w:val="0"/>
          <w:szCs w:val="21"/>
          <w:highlight w:val="none"/>
        </w:rPr>
        <w:t>四、响应文件的提交</w:t>
      </w:r>
    </w:p>
    <w:p w14:paraId="311DF41E">
      <w:pPr>
        <w:tabs>
          <w:tab w:val="left" w:pos="1260"/>
        </w:tabs>
        <w:autoSpaceDE w:val="0"/>
        <w:autoSpaceDN w:val="0"/>
        <w:spacing w:line="360" w:lineRule="auto"/>
        <w:contextualSpacing/>
        <w:jc w:val="center"/>
        <w:rPr>
          <w:rFonts w:ascii="宋体" w:hAnsi="宋体"/>
          <w:b/>
          <w:color w:val="auto"/>
          <w:kern w:val="0"/>
          <w:szCs w:val="21"/>
          <w:highlight w:val="none"/>
        </w:rPr>
      </w:pPr>
    </w:p>
    <w:p w14:paraId="3E2AEEFE">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响应截止时间</w:t>
      </w:r>
    </w:p>
    <w:p w14:paraId="42491128">
      <w:pPr>
        <w:pStyle w:val="43"/>
        <w:numPr>
          <w:ilvl w:val="0"/>
          <w:numId w:val="30"/>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供应商必须在“采购邀请”和“供应商须知前附表”中规定的响应截止时间前，将加密电子响应文件（.file格式）通过新点交易平台（https://xctzjt.etrading.cn/）成功上传。</w:t>
      </w:r>
    </w:p>
    <w:p w14:paraId="42663850">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可以按本须知第14条规定，通过修改磋商文件自行决定酌情延长投标截止期。在此情况下，采购人和供应商受投标截止期制约的所有权利和义务均应延长至新的截止日期和时间。供应商按采购人修改通知规定的时间提交响应文件。</w:t>
      </w:r>
    </w:p>
    <w:p w14:paraId="4FB385F4">
      <w:pPr>
        <w:pStyle w:val="43"/>
        <w:autoSpaceDE w:val="0"/>
        <w:autoSpaceDN w:val="0"/>
        <w:spacing w:line="360" w:lineRule="auto"/>
        <w:ind w:left="964" w:firstLine="0" w:firstLineChars="0"/>
        <w:contextualSpacing/>
        <w:rPr>
          <w:rFonts w:ascii="宋体" w:hAnsi="宋体"/>
          <w:color w:val="auto"/>
          <w:kern w:val="0"/>
          <w:szCs w:val="21"/>
          <w:highlight w:val="none"/>
        </w:rPr>
      </w:pPr>
    </w:p>
    <w:p w14:paraId="0BF21FA6">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迟交的响应文件</w:t>
      </w:r>
    </w:p>
    <w:p w14:paraId="23BECDB0">
      <w:pPr>
        <w:autoSpaceDE w:val="0"/>
        <w:autoSpaceDN w:val="0"/>
        <w:spacing w:line="360" w:lineRule="auto"/>
        <w:ind w:left="964"/>
        <w:contextualSpacing/>
        <w:rPr>
          <w:rFonts w:ascii="宋体" w:hAnsi="宋体"/>
          <w:color w:val="auto"/>
          <w:kern w:val="0"/>
          <w:szCs w:val="21"/>
          <w:highlight w:val="none"/>
        </w:rPr>
      </w:pPr>
      <w:r>
        <w:rPr>
          <w:rFonts w:hint="eastAsia" w:cs="宋体" w:asciiTheme="minorEastAsia" w:hAnsiTheme="minorEastAsia"/>
          <w:kern w:val="0"/>
          <w:szCs w:val="21"/>
        </w:rPr>
        <w:t>磋商响应文件截止时间之后上传的响应文件，采购</w:t>
      </w:r>
      <w:r>
        <w:rPr>
          <w:rFonts w:hint="eastAsia" w:cs="宋体" w:asciiTheme="minorEastAsia" w:hAnsiTheme="minorEastAsia"/>
          <w:kern w:val="0"/>
          <w:szCs w:val="21"/>
          <w:lang w:eastAsia="zh-CN"/>
        </w:rPr>
        <w:t>人将</w:t>
      </w:r>
      <w:r>
        <w:rPr>
          <w:rFonts w:hint="eastAsia" w:cs="宋体" w:asciiTheme="minorEastAsia" w:hAnsiTheme="minorEastAsia"/>
          <w:kern w:val="0"/>
          <w:szCs w:val="21"/>
        </w:rPr>
        <w:t>拒绝接收</w:t>
      </w:r>
      <w:r>
        <w:rPr>
          <w:rFonts w:hint="eastAsia" w:ascii="宋体" w:hAnsi="宋体"/>
          <w:color w:val="auto"/>
          <w:kern w:val="0"/>
          <w:szCs w:val="21"/>
          <w:highlight w:val="none"/>
        </w:rPr>
        <w:t>。</w:t>
      </w:r>
    </w:p>
    <w:p w14:paraId="7677DE43">
      <w:pPr>
        <w:autoSpaceDE w:val="0"/>
        <w:autoSpaceDN w:val="0"/>
        <w:spacing w:line="360" w:lineRule="auto"/>
        <w:ind w:left="964"/>
        <w:contextualSpacing/>
        <w:rPr>
          <w:rFonts w:ascii="宋体" w:hAnsi="宋体"/>
          <w:color w:val="auto"/>
          <w:kern w:val="0"/>
          <w:szCs w:val="21"/>
          <w:highlight w:val="none"/>
        </w:rPr>
      </w:pPr>
    </w:p>
    <w:p w14:paraId="5BB4C27C">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响应文件的修改和撤回</w:t>
      </w:r>
    </w:p>
    <w:p w14:paraId="0AA13F66">
      <w:pPr>
        <w:tabs>
          <w:tab w:val="left" w:pos="1260"/>
        </w:tabs>
        <w:autoSpaceDE w:val="0"/>
        <w:autoSpaceDN w:val="0"/>
        <w:adjustRightInd w:val="0"/>
        <w:spacing w:line="360" w:lineRule="auto"/>
        <w:contextualSpacing/>
        <w:rPr>
          <w:rFonts w:ascii="新宋体" w:hAnsi="新宋体" w:eastAsia="新宋体" w:cs="仿宋_GB2312"/>
          <w:color w:val="auto"/>
          <w:szCs w:val="21"/>
          <w:highlight w:val="none"/>
          <w:lang w:val="zh-CN"/>
        </w:rPr>
      </w:pPr>
      <w:r>
        <w:rPr>
          <w:rFonts w:hint="eastAsia" w:ascii="新宋体" w:hAnsi="新宋体" w:eastAsia="新宋体" w:cs="仿宋_GB2312"/>
          <w:color w:val="auto"/>
          <w:szCs w:val="21"/>
          <w:highlight w:val="none"/>
          <w:lang w:val="zh-CN"/>
        </w:rPr>
        <w:t>2</w:t>
      </w:r>
      <w:r>
        <w:rPr>
          <w:rFonts w:hint="eastAsia" w:ascii="新宋体" w:hAnsi="新宋体" w:eastAsia="新宋体" w:cs="仿宋_GB2312"/>
          <w:color w:val="auto"/>
          <w:szCs w:val="21"/>
          <w:highlight w:val="none"/>
        </w:rPr>
        <w:t>1</w:t>
      </w:r>
      <w:r>
        <w:rPr>
          <w:rFonts w:hint="eastAsia" w:ascii="新宋体" w:hAnsi="新宋体" w:eastAsia="新宋体" w:cs="仿宋_GB2312"/>
          <w:color w:val="auto"/>
          <w:szCs w:val="21"/>
          <w:highlight w:val="none"/>
          <w:lang w:val="zh-CN"/>
        </w:rPr>
        <w:t xml:space="preserve">.1 </w:t>
      </w:r>
      <w:r>
        <w:rPr>
          <w:rFonts w:hint="eastAsia" w:ascii="新宋体" w:hAnsi="新宋体" w:eastAsia="新宋体" w:cs="仿宋_GB2312"/>
          <w:color w:val="auto"/>
          <w:szCs w:val="21"/>
          <w:highlight w:val="none"/>
          <w:lang w:val="en-US" w:eastAsia="zh-CN"/>
        </w:rPr>
        <w:t xml:space="preserve">    </w:t>
      </w:r>
      <w:r>
        <w:rPr>
          <w:rFonts w:hint="eastAsia" w:ascii="新宋体" w:hAnsi="新宋体" w:eastAsia="新宋体" w:cs="仿宋_GB2312"/>
          <w:color w:val="auto"/>
          <w:szCs w:val="21"/>
          <w:highlight w:val="none"/>
          <w:lang w:val="zh-CN"/>
        </w:rPr>
        <w:t>投标人在投标截止时间前，对所递交的投标文件进行补充、修改或者撤回的，须书面通知招标人。</w:t>
      </w:r>
    </w:p>
    <w:p w14:paraId="5247F7AC">
      <w:pPr>
        <w:tabs>
          <w:tab w:val="left" w:pos="1260"/>
        </w:tabs>
        <w:autoSpaceDE w:val="0"/>
        <w:autoSpaceDN w:val="0"/>
        <w:adjustRightInd w:val="0"/>
        <w:spacing w:line="360" w:lineRule="auto"/>
        <w:ind w:left="1050" w:hanging="1050" w:hangingChars="500"/>
        <w:contextualSpacing/>
        <w:rPr>
          <w:rFonts w:ascii="新宋体" w:hAnsi="新宋体" w:eastAsia="新宋体" w:cs="仿宋_GB2312"/>
          <w:color w:val="auto"/>
          <w:szCs w:val="21"/>
          <w:highlight w:val="none"/>
          <w:lang w:val="zh-CN"/>
        </w:rPr>
      </w:pPr>
      <w:r>
        <w:rPr>
          <w:rFonts w:hint="eastAsia" w:ascii="新宋体" w:hAnsi="新宋体" w:eastAsia="新宋体" w:cs="仿宋_GB2312"/>
          <w:color w:val="auto"/>
          <w:szCs w:val="21"/>
          <w:highlight w:val="none"/>
          <w:lang w:val="zh-CN"/>
        </w:rPr>
        <w:t>2</w:t>
      </w:r>
      <w:r>
        <w:rPr>
          <w:rFonts w:hint="eastAsia" w:ascii="新宋体" w:hAnsi="新宋体" w:eastAsia="新宋体" w:cs="仿宋_GB2312"/>
          <w:color w:val="auto"/>
          <w:szCs w:val="21"/>
          <w:highlight w:val="none"/>
        </w:rPr>
        <w:t>1</w:t>
      </w:r>
      <w:r>
        <w:rPr>
          <w:rFonts w:hint="eastAsia" w:ascii="新宋体" w:hAnsi="新宋体" w:eastAsia="新宋体" w:cs="仿宋_GB2312"/>
          <w:color w:val="auto"/>
          <w:szCs w:val="21"/>
          <w:highlight w:val="none"/>
          <w:lang w:val="zh-CN"/>
        </w:rPr>
        <w:t xml:space="preserve">.2 </w:t>
      </w:r>
      <w:r>
        <w:rPr>
          <w:rFonts w:hint="eastAsia" w:ascii="新宋体" w:hAnsi="新宋体" w:eastAsia="新宋体" w:cs="仿宋_GB2312"/>
          <w:color w:val="auto"/>
          <w:szCs w:val="21"/>
          <w:highlight w:val="none"/>
          <w:lang w:val="en-US" w:eastAsia="zh-CN"/>
        </w:rPr>
        <w:t xml:space="preserve">    </w:t>
      </w:r>
      <w:r>
        <w:rPr>
          <w:rFonts w:hint="eastAsia" w:ascii="宋体" w:hAnsi="宋体"/>
          <w:bCs/>
          <w:color w:val="auto"/>
          <w:szCs w:val="21"/>
          <w:highlight w:val="none"/>
        </w:rPr>
        <w:t>投标人</w:t>
      </w:r>
      <w:r>
        <w:rPr>
          <w:rFonts w:hint="eastAsia" w:ascii="新宋体" w:hAnsi="新宋体" w:eastAsia="新宋体" w:cs="仿宋_GB2312"/>
          <w:color w:val="auto"/>
          <w:szCs w:val="21"/>
          <w:highlight w:val="none"/>
          <w:lang w:val="zh-CN"/>
        </w:rPr>
        <w:t>补充、修改的内容并作为投标文件的组成部分。</w:t>
      </w:r>
      <w:r>
        <w:rPr>
          <w:rFonts w:hint="eastAsia" w:ascii="宋体" w:hAnsi="宋体"/>
          <w:bCs/>
          <w:color w:val="auto"/>
          <w:szCs w:val="21"/>
          <w:highlight w:val="none"/>
        </w:rPr>
        <w:t>补充或修改</w:t>
      </w:r>
      <w:r>
        <w:rPr>
          <w:rFonts w:hint="eastAsia" w:ascii="新宋体" w:hAnsi="新宋体" w:eastAsia="新宋体" w:cs="仿宋_GB2312"/>
          <w:color w:val="auto"/>
          <w:szCs w:val="21"/>
          <w:highlight w:val="none"/>
          <w:lang w:val="zh-CN"/>
        </w:rPr>
        <w:t>应当按招标文件要求签署、盖章、</w:t>
      </w:r>
      <w:r>
        <w:rPr>
          <w:rFonts w:hint="eastAsia" w:ascii="宋体" w:hAnsi="宋体"/>
          <w:bCs/>
          <w:color w:val="auto"/>
          <w:szCs w:val="21"/>
          <w:highlight w:val="none"/>
        </w:rPr>
        <w:t>密封</w:t>
      </w:r>
      <w:r>
        <w:rPr>
          <w:rFonts w:hint="eastAsia" w:ascii="新宋体" w:hAnsi="新宋体" w:eastAsia="新宋体" w:cs="仿宋_GB2312"/>
          <w:color w:val="auto"/>
          <w:szCs w:val="21"/>
          <w:highlight w:val="none"/>
          <w:lang w:val="zh-CN"/>
        </w:rPr>
        <w:t>、递交，</w:t>
      </w:r>
      <w:r>
        <w:rPr>
          <w:rFonts w:hint="eastAsia" w:ascii="宋体" w:hAnsi="宋体"/>
          <w:bCs/>
          <w:color w:val="auto"/>
          <w:szCs w:val="21"/>
          <w:highlight w:val="none"/>
        </w:rPr>
        <w:t>并应注明“修改</w:t>
      </w:r>
      <w:r>
        <w:rPr>
          <w:rFonts w:ascii="宋体" w:hAnsi="宋体"/>
          <w:bCs/>
          <w:color w:val="auto"/>
          <w:szCs w:val="21"/>
          <w:highlight w:val="none"/>
        </w:rPr>
        <w:t>”</w:t>
      </w:r>
      <w:r>
        <w:rPr>
          <w:rFonts w:hint="eastAsia" w:ascii="宋体" w:hAnsi="宋体"/>
          <w:bCs/>
          <w:color w:val="auto"/>
          <w:szCs w:val="21"/>
          <w:highlight w:val="none"/>
        </w:rPr>
        <w:t>或“补充</w:t>
      </w:r>
      <w:r>
        <w:rPr>
          <w:rFonts w:ascii="宋体" w:hAnsi="宋体"/>
          <w:bCs/>
          <w:color w:val="auto"/>
          <w:szCs w:val="21"/>
          <w:highlight w:val="none"/>
        </w:rPr>
        <w:t>”</w:t>
      </w:r>
      <w:r>
        <w:rPr>
          <w:rFonts w:hint="eastAsia" w:ascii="宋体" w:hAnsi="宋体"/>
          <w:bCs/>
          <w:color w:val="auto"/>
          <w:szCs w:val="21"/>
          <w:highlight w:val="none"/>
        </w:rPr>
        <w:t>字样。</w:t>
      </w:r>
    </w:p>
    <w:p w14:paraId="4A432939">
      <w:pPr>
        <w:pStyle w:val="43"/>
        <w:autoSpaceDE w:val="0"/>
        <w:autoSpaceDN w:val="0"/>
        <w:spacing w:line="360" w:lineRule="auto"/>
        <w:ind w:left="0" w:leftChars="0" w:firstLine="0" w:firstLineChars="0"/>
        <w:contextualSpacing/>
        <w:rPr>
          <w:rFonts w:ascii="新宋体" w:hAnsi="新宋体" w:eastAsia="新宋体" w:cs="仿宋_GB2312"/>
          <w:color w:val="auto"/>
          <w:szCs w:val="21"/>
          <w:highlight w:val="none"/>
          <w:lang w:val="zh-CN"/>
        </w:rPr>
      </w:pPr>
      <w:r>
        <w:rPr>
          <w:rFonts w:hint="eastAsia" w:ascii="新宋体" w:hAnsi="新宋体" w:eastAsia="新宋体" w:cs="仿宋_GB2312"/>
          <w:color w:val="auto"/>
          <w:szCs w:val="21"/>
          <w:highlight w:val="none"/>
          <w:lang w:val="zh-CN"/>
        </w:rPr>
        <w:t>2</w:t>
      </w:r>
      <w:r>
        <w:rPr>
          <w:rFonts w:hint="eastAsia" w:ascii="新宋体" w:hAnsi="新宋体" w:eastAsia="新宋体" w:cs="仿宋_GB2312"/>
          <w:color w:val="auto"/>
          <w:szCs w:val="21"/>
          <w:highlight w:val="none"/>
        </w:rPr>
        <w:t>1</w:t>
      </w:r>
      <w:r>
        <w:rPr>
          <w:rFonts w:hint="eastAsia" w:ascii="新宋体" w:hAnsi="新宋体" w:eastAsia="新宋体" w:cs="仿宋_GB2312"/>
          <w:color w:val="auto"/>
          <w:szCs w:val="21"/>
          <w:highlight w:val="none"/>
          <w:lang w:val="zh-CN"/>
        </w:rPr>
        <w:t xml:space="preserve">.3 </w:t>
      </w:r>
      <w:r>
        <w:rPr>
          <w:rFonts w:hint="eastAsia" w:ascii="新宋体" w:hAnsi="新宋体" w:eastAsia="新宋体" w:cs="仿宋_GB2312"/>
          <w:color w:val="auto"/>
          <w:szCs w:val="21"/>
          <w:highlight w:val="none"/>
          <w:lang w:val="en-US" w:eastAsia="zh-CN"/>
        </w:rPr>
        <w:t xml:space="preserve">    </w:t>
      </w:r>
      <w:r>
        <w:rPr>
          <w:rFonts w:hint="eastAsia" w:ascii="新宋体" w:hAnsi="新宋体" w:eastAsia="新宋体" w:cs="仿宋_GB2312"/>
          <w:color w:val="auto"/>
          <w:szCs w:val="21"/>
          <w:highlight w:val="none"/>
          <w:lang w:val="zh-CN"/>
        </w:rPr>
        <w:t>投标人在递交投标文件后，可以撤回其投标，但投标人必须在规定的投标截止时间前以书面形式告知招标人。</w:t>
      </w:r>
    </w:p>
    <w:p w14:paraId="379661B0">
      <w:pPr>
        <w:pStyle w:val="43"/>
        <w:autoSpaceDE w:val="0"/>
        <w:autoSpaceDN w:val="0"/>
        <w:spacing w:line="360" w:lineRule="auto"/>
        <w:ind w:left="0" w:leftChars="0" w:firstLine="0" w:firstLineChars="0"/>
        <w:contextualSpacing/>
        <w:rPr>
          <w:rFonts w:ascii="宋体" w:hAnsi="宋体"/>
          <w:color w:val="auto"/>
          <w:kern w:val="0"/>
          <w:szCs w:val="21"/>
          <w:highlight w:val="none"/>
        </w:rPr>
      </w:pPr>
      <w:r>
        <w:rPr>
          <w:rFonts w:hint="eastAsia" w:ascii="新宋体" w:hAnsi="新宋体" w:eastAsia="新宋体" w:cs="仿宋_GB2312"/>
          <w:color w:val="auto"/>
          <w:szCs w:val="21"/>
          <w:highlight w:val="none"/>
          <w:lang w:val="zh-CN"/>
        </w:rPr>
        <w:t>21.4</w:t>
      </w:r>
      <w:r>
        <w:rPr>
          <w:rFonts w:hint="eastAsia" w:ascii="新宋体" w:hAnsi="新宋体" w:eastAsia="新宋体" w:cs="仿宋_GB2312"/>
          <w:color w:val="auto"/>
          <w:szCs w:val="21"/>
          <w:highlight w:val="none"/>
        </w:rPr>
        <w:t xml:space="preserve"> </w:t>
      </w:r>
      <w:r>
        <w:rPr>
          <w:rFonts w:hint="eastAsia" w:ascii="新宋体" w:hAnsi="新宋体" w:eastAsia="新宋体" w:cs="仿宋_GB2312"/>
          <w:color w:val="auto"/>
          <w:szCs w:val="21"/>
          <w:highlight w:val="none"/>
          <w:lang w:val="en-US" w:eastAsia="zh-CN"/>
        </w:rPr>
        <w:t xml:space="preserve">    </w:t>
      </w:r>
      <w:r>
        <w:rPr>
          <w:rFonts w:hint="eastAsia" w:ascii="宋体" w:hAnsi="宋体"/>
          <w:color w:val="auto"/>
          <w:kern w:val="0"/>
          <w:szCs w:val="21"/>
          <w:highlight w:val="none"/>
        </w:rPr>
        <w:t>供应商不得在响应有效期内撤销响应文件，否则供应商将承担违背响应承诺函的责任追究。</w:t>
      </w:r>
    </w:p>
    <w:p w14:paraId="4348A589">
      <w:pPr>
        <w:autoSpaceDE w:val="0"/>
        <w:autoSpaceDN w:val="0"/>
        <w:spacing w:line="360" w:lineRule="auto"/>
        <w:ind w:left="420"/>
        <w:contextualSpacing/>
        <w:rPr>
          <w:rFonts w:ascii="宋体" w:hAnsi="宋体"/>
          <w:color w:val="auto"/>
          <w:kern w:val="0"/>
          <w:szCs w:val="21"/>
          <w:highlight w:val="none"/>
        </w:rPr>
      </w:pPr>
    </w:p>
    <w:p w14:paraId="6A4219AE">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除供应商须知前附表另有规定外，供应商所提交的电子响应文件不予退还。</w:t>
      </w:r>
    </w:p>
    <w:p w14:paraId="2FBBCEFB">
      <w:pPr>
        <w:autoSpaceDE w:val="0"/>
        <w:autoSpaceDN w:val="0"/>
        <w:spacing w:line="360" w:lineRule="auto"/>
        <w:contextualSpacing/>
        <w:rPr>
          <w:rFonts w:ascii="宋体" w:hAnsi="宋体"/>
          <w:color w:val="auto"/>
          <w:kern w:val="0"/>
          <w:szCs w:val="21"/>
          <w:highlight w:val="none"/>
        </w:rPr>
      </w:pPr>
    </w:p>
    <w:p w14:paraId="5F5AC673">
      <w:pPr>
        <w:autoSpaceDE w:val="0"/>
        <w:autoSpaceDN w:val="0"/>
        <w:spacing w:line="360" w:lineRule="auto"/>
        <w:contextualSpacing/>
        <w:rPr>
          <w:rFonts w:ascii="宋体" w:hAnsi="宋体"/>
          <w:color w:val="auto"/>
          <w:kern w:val="0"/>
          <w:szCs w:val="21"/>
          <w:highlight w:val="none"/>
        </w:rPr>
      </w:pPr>
    </w:p>
    <w:p w14:paraId="3651BB10">
      <w:pPr>
        <w:tabs>
          <w:tab w:val="left" w:pos="1260"/>
        </w:tabs>
        <w:autoSpaceDE w:val="0"/>
        <w:autoSpaceDN w:val="0"/>
        <w:spacing w:line="360" w:lineRule="auto"/>
        <w:contextualSpacing/>
        <w:jc w:val="center"/>
        <w:rPr>
          <w:rFonts w:ascii="宋体" w:hAnsi="宋体"/>
          <w:b/>
          <w:color w:val="auto"/>
          <w:kern w:val="0"/>
          <w:szCs w:val="21"/>
          <w:highlight w:val="none"/>
        </w:rPr>
      </w:pPr>
      <w:r>
        <w:rPr>
          <w:rFonts w:hint="eastAsia" w:ascii="宋体" w:hAnsi="宋体"/>
          <w:b/>
          <w:color w:val="auto"/>
          <w:kern w:val="0"/>
          <w:szCs w:val="21"/>
          <w:highlight w:val="none"/>
        </w:rPr>
        <w:t>五、响应文件开启和磋商</w:t>
      </w:r>
    </w:p>
    <w:p w14:paraId="7AC8FB6C">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响应文件开启</w:t>
      </w:r>
    </w:p>
    <w:p w14:paraId="7BA6478E">
      <w:pPr>
        <w:pStyle w:val="43"/>
        <w:tabs>
          <w:tab w:val="left" w:pos="1260"/>
        </w:tabs>
        <w:autoSpaceDE w:val="0"/>
        <w:autoSpaceDN w:val="0"/>
        <w:adjustRightInd w:val="0"/>
        <w:spacing w:line="360" w:lineRule="auto"/>
        <w:ind w:left="1050" w:leftChars="0" w:hanging="1050" w:hangingChars="5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.1</w:t>
      </w:r>
      <w:r>
        <w:rPr>
          <w:rFonts w:hint="eastAsia" w:ascii="宋体" w:hAnsi="宋体" w:cs="仿宋_GB2312"/>
          <w:color w:val="auto"/>
          <w:szCs w:val="21"/>
          <w:highlight w:val="none"/>
        </w:rPr>
        <w:t xml:space="preserve"> </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招标人</w:t>
      </w:r>
      <w:r>
        <w:rPr>
          <w:rFonts w:hint="eastAsia" w:cs="宋体" w:asciiTheme="minorEastAsia" w:hAnsiTheme="minorEastAsia"/>
          <w:kern w:val="0"/>
          <w:szCs w:val="21"/>
        </w:rPr>
        <w:t>将按磋商文件规定的</w:t>
      </w:r>
      <w:r>
        <w:rPr>
          <w:rFonts w:hint="eastAsia" w:cs="仿宋_GB2312" w:asciiTheme="minorEastAsia" w:hAnsiTheme="minorEastAsia"/>
          <w:szCs w:val="21"/>
        </w:rPr>
        <w:t>磋商响应截止时间</w:t>
      </w:r>
      <w:r>
        <w:rPr>
          <w:rFonts w:hint="eastAsia" w:cs="宋体" w:asciiTheme="minorEastAsia" w:hAnsiTheme="minorEastAsia"/>
          <w:kern w:val="0"/>
          <w:szCs w:val="21"/>
        </w:rPr>
        <w:t>和地点解密电子响应文件</w:t>
      </w:r>
      <w:r>
        <w:rPr>
          <w:rFonts w:hint="eastAsia" w:ascii="宋体" w:hAnsi="宋体" w:cs="仿宋_GB2312"/>
          <w:color w:val="auto"/>
          <w:szCs w:val="21"/>
          <w:highlight w:val="none"/>
          <w:lang w:val="zh-CN"/>
        </w:rPr>
        <w:t>。由代理机构主持，供应商无需到现场。磋商小组成员不得参加开标活动。</w:t>
      </w:r>
    </w:p>
    <w:p w14:paraId="1F18B2EE">
      <w:pPr>
        <w:pStyle w:val="43"/>
        <w:tabs>
          <w:tab w:val="left" w:pos="1260"/>
        </w:tabs>
        <w:autoSpaceDE w:val="0"/>
        <w:autoSpaceDN w:val="0"/>
        <w:adjustRightInd w:val="0"/>
        <w:spacing w:line="360" w:lineRule="auto"/>
        <w:ind w:left="1050" w:leftChars="0" w:hanging="1050" w:hangingChars="5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.2</w:t>
      </w:r>
      <w:r>
        <w:rPr>
          <w:rFonts w:hint="eastAsia" w:ascii="宋体" w:hAnsi="宋体" w:cs="仿宋_GB2312"/>
          <w:color w:val="auto"/>
          <w:szCs w:val="21"/>
          <w:highlight w:val="none"/>
        </w:rPr>
        <w:t xml:space="preserve"> </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招标人应当对开标、评标现场活动进行全程录音录像。录音录像应当清晰可辨，音像资料作为采购文件一并存档。</w:t>
      </w:r>
    </w:p>
    <w:p w14:paraId="1E70310A">
      <w:pPr>
        <w:pStyle w:val="43"/>
        <w:tabs>
          <w:tab w:val="left" w:pos="1260"/>
        </w:tabs>
        <w:autoSpaceDE w:val="0"/>
        <w:autoSpaceDN w:val="0"/>
        <w:adjustRightInd w:val="0"/>
        <w:spacing w:line="360" w:lineRule="auto"/>
        <w:ind w:left="1050" w:leftChars="0" w:hanging="1050" w:hangingChars="50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.3</w:t>
      </w:r>
      <w:r>
        <w:rPr>
          <w:rFonts w:hint="eastAsia" w:ascii="宋体" w:hAnsi="宋体" w:cs="仿宋_GB2312"/>
          <w:color w:val="auto"/>
          <w:szCs w:val="21"/>
          <w:highlight w:val="none"/>
        </w:rPr>
        <w:t xml:space="preserve"> </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磋商响应截止时间，由代理机构开通远程不见面开标大厅及开启“文字互动”等功能；供应商、代理机构进行电子响应文件的解密。解密后供应商选择功能栏“开标记录”按钮可查看供应商名称、修改和撤回投标的通知（如有的话）和磋商文件规定的需要宣布的其他内容。23.3.1电子响应文件的解密：全流程电子化交易项目电子响应文件采用双重加密。解密需分标段进行两次解密。</w:t>
      </w:r>
    </w:p>
    <w:p w14:paraId="60885975">
      <w:pPr>
        <w:pStyle w:val="43"/>
        <w:tabs>
          <w:tab w:val="left" w:pos="1260"/>
        </w:tabs>
        <w:autoSpaceDE w:val="0"/>
        <w:autoSpaceDN w:val="0"/>
        <w:adjustRightInd w:val="0"/>
        <w:spacing w:line="360" w:lineRule="auto"/>
        <w:ind w:left="0" w:leftChars="0" w:firstLine="0" w:firstLineChars="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23.3.1.1</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供应商解密：供应商</w:t>
      </w:r>
      <w:r>
        <w:rPr>
          <w:rFonts w:hint="eastAsia" w:ascii="宋体" w:hAnsi="宋体" w:cs="仿宋_GB2312"/>
          <w:color w:val="auto"/>
          <w:szCs w:val="21"/>
          <w:highlight w:val="none"/>
          <w:lang w:val="en-US" w:eastAsia="zh-CN"/>
        </w:rPr>
        <w:t>进入本单位账号</w:t>
      </w:r>
      <w:r>
        <w:rPr>
          <w:rFonts w:hint="eastAsia" w:ascii="宋体" w:hAnsi="宋体" w:cs="仿宋_GB2312"/>
          <w:color w:val="auto"/>
          <w:szCs w:val="21"/>
          <w:highlight w:val="none"/>
          <w:lang w:val="zh-CN"/>
        </w:rPr>
        <w:t>进行远程解密。</w:t>
      </w:r>
    </w:p>
    <w:p w14:paraId="0E6A9A15">
      <w:pPr>
        <w:pStyle w:val="43"/>
        <w:tabs>
          <w:tab w:val="left" w:pos="1260"/>
        </w:tabs>
        <w:autoSpaceDE w:val="0"/>
        <w:autoSpaceDN w:val="0"/>
        <w:adjustRightInd w:val="0"/>
        <w:spacing w:line="360" w:lineRule="auto"/>
        <w:ind w:left="0" w:leftChars="0" w:firstLine="0" w:firstLineChars="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23.3.1.2</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代理机构解密：代理机构按电子响应文件到达交易系统的先后顺序，</w:t>
      </w:r>
      <w:r>
        <w:rPr>
          <w:rFonts w:hint="eastAsia" w:ascii="宋体" w:hAnsi="宋体" w:cs="仿宋_GB2312"/>
          <w:color w:val="auto"/>
          <w:szCs w:val="21"/>
          <w:highlight w:val="none"/>
          <w:lang w:val="en-US" w:eastAsia="zh-CN"/>
        </w:rPr>
        <w:t>进入本单位账号</w:t>
      </w:r>
      <w:r>
        <w:rPr>
          <w:rFonts w:hint="eastAsia" w:ascii="宋体" w:hAnsi="宋体" w:cs="仿宋_GB2312"/>
          <w:color w:val="auto"/>
          <w:szCs w:val="21"/>
          <w:highlight w:val="none"/>
          <w:lang w:val="zh-CN"/>
        </w:rPr>
        <w:t>进行再次解密。</w:t>
      </w:r>
    </w:p>
    <w:p w14:paraId="0B041891">
      <w:pPr>
        <w:pStyle w:val="43"/>
        <w:tabs>
          <w:tab w:val="left" w:pos="1260"/>
        </w:tabs>
        <w:autoSpaceDE w:val="0"/>
        <w:autoSpaceDN w:val="0"/>
        <w:adjustRightInd w:val="0"/>
        <w:spacing w:line="360" w:lineRule="auto"/>
        <w:ind w:left="0" w:leftChars="0" w:firstLine="0" w:firstLineChars="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23.3.1.3</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因供应商原因电子响应文件解密失败的，其响应文件将被拒绝。</w:t>
      </w:r>
    </w:p>
    <w:p w14:paraId="2257E668">
      <w:pPr>
        <w:pStyle w:val="43"/>
        <w:tabs>
          <w:tab w:val="left" w:pos="1260"/>
        </w:tabs>
        <w:autoSpaceDE w:val="0"/>
        <w:autoSpaceDN w:val="0"/>
        <w:adjustRightInd w:val="0"/>
        <w:spacing w:line="360" w:lineRule="auto"/>
        <w:ind w:left="0" w:leftChars="0" w:firstLine="0" w:firstLineChars="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 xml:space="preserve">.4 </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投标人不足3家的，</w:t>
      </w:r>
      <w:r>
        <w:rPr>
          <w:rFonts w:hint="eastAsia" w:cs="宋体" w:asciiTheme="minorEastAsia" w:hAnsiTheme="minorEastAsia"/>
          <w:kern w:val="0"/>
          <w:szCs w:val="21"/>
        </w:rPr>
        <w:t>本项目磋商活动终止</w:t>
      </w:r>
      <w:r>
        <w:rPr>
          <w:rFonts w:hint="eastAsia" w:ascii="宋体" w:hAnsi="宋体" w:cs="仿宋_GB2312"/>
          <w:color w:val="auto"/>
          <w:szCs w:val="21"/>
          <w:highlight w:val="none"/>
          <w:lang w:val="zh-CN"/>
        </w:rPr>
        <w:t>。</w:t>
      </w:r>
    </w:p>
    <w:p w14:paraId="0BCCE2DD">
      <w:pPr>
        <w:pStyle w:val="43"/>
        <w:tabs>
          <w:tab w:val="left" w:pos="1260"/>
        </w:tabs>
        <w:autoSpaceDE w:val="0"/>
        <w:autoSpaceDN w:val="0"/>
        <w:adjustRightInd w:val="0"/>
        <w:spacing w:line="360" w:lineRule="auto"/>
        <w:ind w:left="0" w:leftChars="0" w:firstLine="0" w:firstLineChars="0"/>
        <w:contextualSpacing/>
        <w:rPr>
          <w:rFonts w:hint="eastAsia" w:ascii="宋体" w:hAnsi="宋体" w:cs="仿宋_GB2312"/>
          <w:color w:val="auto"/>
          <w:szCs w:val="21"/>
          <w:highlight w:val="none"/>
          <w:lang w:val="zh-CN"/>
        </w:rPr>
      </w:pPr>
    </w:p>
    <w:p w14:paraId="3CB77505">
      <w:pPr>
        <w:pStyle w:val="43"/>
        <w:tabs>
          <w:tab w:val="left" w:pos="1260"/>
        </w:tabs>
        <w:autoSpaceDE w:val="0"/>
        <w:autoSpaceDN w:val="0"/>
        <w:adjustRightInd w:val="0"/>
        <w:spacing w:line="360" w:lineRule="auto"/>
        <w:ind w:left="1050" w:leftChars="0" w:hanging="1050" w:hangingChars="50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.5</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 xml:space="preserve"> </w:t>
      </w:r>
      <w:r>
        <w:rPr>
          <w:rFonts w:hint="eastAsia" w:cs="宋体" w:asciiTheme="minorEastAsia" w:hAnsiTheme="minorEastAsia"/>
          <w:kern w:val="0"/>
          <w:szCs w:val="21"/>
        </w:rPr>
        <w:t>开标过程由采购代理机构负责记录，</w:t>
      </w:r>
      <w:r>
        <w:rPr>
          <w:rFonts w:hint="eastAsia" w:hAnsi="宋体"/>
          <w:szCs w:val="21"/>
        </w:rPr>
        <w:t>《开标记录表》</w:t>
      </w:r>
      <w:r>
        <w:rPr>
          <w:rFonts w:hint="eastAsia" w:cs="宋体" w:asciiTheme="minorEastAsia" w:hAnsiTheme="minorEastAsia"/>
          <w:kern w:val="0"/>
          <w:szCs w:val="21"/>
        </w:rPr>
        <w:t>由参加开标相关工作人员签字确认后随采购文</w:t>
      </w:r>
      <w:r>
        <w:rPr>
          <w:rFonts w:hint="eastAsia" w:cs="宋体" w:asciiTheme="minorEastAsia" w:hAnsiTheme="minorEastAsia"/>
          <w:kern w:val="0"/>
          <w:szCs w:val="21"/>
          <w:lang w:val="en-US" w:eastAsia="zh-CN"/>
        </w:rPr>
        <w:t xml:space="preserve">        </w:t>
      </w:r>
      <w:r>
        <w:rPr>
          <w:rFonts w:hint="eastAsia" w:cs="宋体" w:asciiTheme="minorEastAsia" w:hAnsiTheme="minorEastAsia"/>
          <w:kern w:val="0"/>
          <w:szCs w:val="21"/>
        </w:rPr>
        <w:t>件一并存档。</w:t>
      </w:r>
    </w:p>
    <w:p w14:paraId="57FF2350">
      <w:pPr>
        <w:pStyle w:val="43"/>
        <w:tabs>
          <w:tab w:val="left" w:pos="1260"/>
        </w:tabs>
        <w:autoSpaceDE w:val="0"/>
        <w:autoSpaceDN w:val="0"/>
        <w:adjustRightInd w:val="0"/>
        <w:spacing w:line="360" w:lineRule="auto"/>
        <w:ind w:left="1050" w:leftChars="0" w:hanging="1050" w:hangingChars="500"/>
        <w:contextualSpacing/>
        <w:rPr>
          <w:rFonts w:hint="eastAsia" w:ascii="宋体" w:hAnsi="宋体" w:cs="仿宋_GB2312"/>
          <w:color w:val="auto"/>
          <w:szCs w:val="21"/>
          <w:highlight w:val="none"/>
          <w:lang w:val="zh-CN"/>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 xml:space="preserve">.6 </w:t>
      </w:r>
      <w:r>
        <w:rPr>
          <w:rFonts w:hint="eastAsia" w:ascii="宋体" w:hAnsi="宋体" w:cs="仿宋_GB2312"/>
          <w:color w:val="auto"/>
          <w:szCs w:val="21"/>
          <w:highlight w:val="none"/>
          <w:lang w:val="en-US" w:eastAsia="zh-CN"/>
        </w:rPr>
        <w:t xml:space="preserve">     </w:t>
      </w:r>
      <w:r>
        <w:rPr>
          <w:rFonts w:hint="eastAsia" w:ascii="宋体" w:hAnsi="宋体" w:cs="仿宋_GB2312"/>
          <w:color w:val="auto"/>
          <w:szCs w:val="21"/>
          <w:highlight w:val="none"/>
          <w:lang w:val="zh-CN"/>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19E08ECC">
      <w:pPr>
        <w:pStyle w:val="43"/>
        <w:tabs>
          <w:tab w:val="left" w:pos="1260"/>
        </w:tabs>
        <w:autoSpaceDE w:val="0"/>
        <w:autoSpaceDN w:val="0"/>
        <w:adjustRightInd w:val="0"/>
        <w:spacing w:line="360" w:lineRule="auto"/>
        <w:ind w:left="1050" w:leftChars="0" w:hanging="1050" w:hangingChars="500"/>
        <w:contextualSpacing/>
        <w:rPr>
          <w:rFonts w:ascii="宋体" w:hAnsi="宋体"/>
          <w:color w:val="auto"/>
          <w:kern w:val="0"/>
          <w:szCs w:val="21"/>
          <w:highlight w:val="none"/>
        </w:rPr>
      </w:pPr>
      <w:r>
        <w:rPr>
          <w:rFonts w:hint="eastAsia" w:ascii="宋体" w:hAnsi="宋体" w:cs="仿宋_GB2312"/>
          <w:color w:val="auto"/>
          <w:szCs w:val="21"/>
          <w:highlight w:val="none"/>
          <w:lang w:val="zh-CN"/>
        </w:rPr>
        <w:t>2</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lang w:val="zh-CN"/>
        </w:rPr>
        <w:t xml:space="preserve">.7 </w:t>
      </w:r>
      <w:r>
        <w:rPr>
          <w:rFonts w:hint="eastAsia" w:ascii="宋体" w:hAnsi="宋体" w:cs="仿宋_GB2312"/>
          <w:color w:val="auto"/>
          <w:szCs w:val="21"/>
          <w:highlight w:val="none"/>
          <w:lang w:val="en-US" w:eastAsia="zh-CN"/>
        </w:rPr>
        <w:t xml:space="preserve">     </w:t>
      </w:r>
      <w:r>
        <w:rPr>
          <w:rFonts w:hint="eastAsia" w:asciiTheme="minorEastAsia" w:hAnsiTheme="minorEastAsia"/>
          <w:szCs w:val="21"/>
        </w:rPr>
        <w:t>响应文件</w:t>
      </w:r>
      <w:r>
        <w:rPr>
          <w:rFonts w:hint="eastAsia" w:hAnsi="宋体"/>
          <w:szCs w:val="21"/>
        </w:rPr>
        <w:t>解密活动结束时，</w:t>
      </w:r>
      <w:r>
        <w:rPr>
          <w:rFonts w:hint="eastAsia" w:hAnsi="宋体"/>
          <w:szCs w:val="21"/>
          <w:lang w:val="en-US" w:eastAsia="zh-CN"/>
        </w:rPr>
        <w:t>如未收到供应商提出的疑义</w:t>
      </w:r>
      <w:r>
        <w:rPr>
          <w:rFonts w:hint="eastAsia" w:ascii="宋体" w:hAnsi="宋体" w:cs="仿宋_GB2312"/>
          <w:color w:val="auto"/>
          <w:szCs w:val="21"/>
          <w:highlight w:val="none"/>
          <w:lang w:val="zh-CN"/>
        </w:rPr>
        <w:t>，视同认可开标结果。</w:t>
      </w:r>
    </w:p>
    <w:p w14:paraId="228B487D">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磋商小组的组成</w:t>
      </w:r>
    </w:p>
    <w:p w14:paraId="18DC2688">
      <w:pPr>
        <w:pStyle w:val="43"/>
        <w:numPr>
          <w:ilvl w:val="0"/>
          <w:numId w:val="31"/>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w:t>
      </w:r>
      <w:r>
        <w:rPr>
          <w:rFonts w:hint="eastAsia" w:ascii="宋体" w:hAnsi="宋体" w:cs="仿宋_GB2312"/>
          <w:color w:val="auto"/>
          <w:szCs w:val="21"/>
          <w:highlight w:val="none"/>
          <w:lang w:val="zh-CN"/>
        </w:rPr>
        <w:t>磋商小组</w:t>
      </w:r>
      <w:r>
        <w:rPr>
          <w:rFonts w:hint="eastAsia" w:ascii="宋体" w:hAnsi="宋体" w:cs="仿宋_GB2312"/>
          <w:color w:val="auto"/>
          <w:szCs w:val="21"/>
          <w:highlight w:val="none"/>
          <w:lang w:val="en-US" w:eastAsia="zh-CN"/>
        </w:rPr>
        <w:t>由</w:t>
      </w:r>
      <w:r>
        <w:rPr>
          <w:rFonts w:hint="eastAsia" w:ascii="宋体" w:hAnsi="宋体" w:cs="仿宋_GB2312"/>
          <w:color w:val="auto"/>
          <w:szCs w:val="21"/>
          <w:highlight w:val="none"/>
          <w:lang w:val="zh-CN"/>
        </w:rPr>
        <w:t>评审专家共3人以上单数组成，</w:t>
      </w:r>
      <w:r>
        <w:rPr>
          <w:rFonts w:hint="eastAsia" w:ascii="宋体" w:hAnsi="宋体" w:cs="仿宋_GB2312"/>
          <w:szCs w:val="21"/>
          <w:highlight w:val="none"/>
          <w:lang w:val="zh-CN"/>
        </w:rPr>
        <w:t>评审专家从采购评审专家库中随机抽取</w:t>
      </w:r>
      <w:r>
        <w:rPr>
          <w:rFonts w:hint="eastAsia" w:ascii="宋体" w:hAnsi="宋体" w:cs="仿宋_GB2312"/>
          <w:color w:val="auto"/>
          <w:szCs w:val="21"/>
          <w:highlight w:val="none"/>
          <w:lang w:val="zh-CN"/>
        </w:rPr>
        <w:t>。技术复杂、专业性强的采购项目，评审专家中应当包含1名法律专家</w:t>
      </w:r>
      <w:r>
        <w:rPr>
          <w:rFonts w:ascii="宋体" w:hAnsi="宋体"/>
          <w:color w:val="auto"/>
          <w:kern w:val="0"/>
          <w:szCs w:val="21"/>
          <w:highlight w:val="none"/>
        </w:rPr>
        <w:t>。</w:t>
      </w:r>
    </w:p>
    <w:p w14:paraId="1EC4633F">
      <w:pPr>
        <w:pStyle w:val="43"/>
        <w:numPr>
          <w:ilvl w:val="0"/>
          <w:numId w:val="0"/>
        </w:numPr>
        <w:autoSpaceDE w:val="0"/>
        <w:autoSpaceDN w:val="0"/>
        <w:spacing w:line="360" w:lineRule="auto"/>
        <w:ind w:left="1050" w:leftChars="400" w:hanging="210" w:hangingChars="100"/>
        <w:contextualSpacing/>
        <w:rPr>
          <w:rFonts w:ascii="宋体" w:hAnsi="宋体"/>
          <w:color w:val="auto"/>
          <w:kern w:val="0"/>
          <w:szCs w:val="21"/>
          <w:highlight w:val="none"/>
        </w:rPr>
      </w:pPr>
      <w:r>
        <w:rPr>
          <w:rFonts w:hint="eastAsia" w:ascii="宋体" w:hAnsi="宋体"/>
          <w:color w:val="auto"/>
          <w:kern w:val="0"/>
          <w:szCs w:val="21"/>
          <w:highlight w:val="none"/>
        </w:rPr>
        <w:t xml:space="preserve"> </w:t>
      </w:r>
      <w:r>
        <w:rPr>
          <w:rFonts w:ascii="宋体" w:hAnsi="宋体"/>
          <w:color w:val="auto"/>
          <w:kern w:val="0"/>
          <w:szCs w:val="21"/>
          <w:highlight w:val="none"/>
        </w:rPr>
        <w:t>采购人代表不得以评审专家身份参加本部门或本单位采购项目的评审。采购代理机构人员不得参加本机构代理的采购项目的评审。</w:t>
      </w:r>
    </w:p>
    <w:p w14:paraId="72AD5324">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评审专家与供应商存在下列利害关系之一的,应当回避:</w:t>
      </w:r>
    </w:p>
    <w:p w14:paraId="6662D007">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（1）参加采购活动前三年内,与供应商存在劳动关系,或者担任过供应商的董事、监事,或者是供应商的控股股东或实际控制人；</w:t>
      </w:r>
    </w:p>
    <w:p w14:paraId="1F6C54EA">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（2）与供应商的法定代表人或者负责人有夫妻、直系血亲、三代以内旁系血亲或者近姻亲关系；</w:t>
      </w:r>
    </w:p>
    <w:p w14:paraId="08FB2ED0">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（3）与供应商有其他可能影响政府采购活动公平、公正进行的关系。</w:t>
      </w:r>
    </w:p>
    <w:p w14:paraId="1606581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评审专家发现本人与参加采购活动的供应商有利害关系的,应当主动提出回避。采购人或者代理机构发现评审专家与参加采购活动的供应商有利害关系的,应当要求其回避。</w:t>
      </w:r>
    </w:p>
    <w:p w14:paraId="506629FA">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采购人不得担任磋商小组组长。</w:t>
      </w:r>
    </w:p>
    <w:p w14:paraId="67735E6A">
      <w:pPr>
        <w:autoSpaceDE w:val="0"/>
        <w:autoSpaceDN w:val="0"/>
        <w:spacing w:line="360" w:lineRule="auto"/>
        <w:ind w:left="420"/>
        <w:contextualSpacing/>
        <w:rPr>
          <w:rFonts w:ascii="宋体" w:hAnsi="宋体"/>
          <w:color w:val="auto"/>
          <w:kern w:val="0"/>
          <w:szCs w:val="21"/>
          <w:highlight w:val="none"/>
        </w:rPr>
      </w:pPr>
    </w:p>
    <w:p w14:paraId="194ED1D2">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初审</w:t>
      </w:r>
    </w:p>
    <w:p w14:paraId="2E902ABC">
      <w:pPr>
        <w:pStyle w:val="43"/>
        <w:numPr>
          <w:ilvl w:val="0"/>
          <w:numId w:val="31"/>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响应文件初审。初审包括资格审查和符合性审查。</w:t>
      </w:r>
    </w:p>
    <w:p w14:paraId="3A5C8C89">
      <w:pPr>
        <w:pStyle w:val="43"/>
        <w:numPr>
          <w:ilvl w:val="0"/>
          <w:numId w:val="32"/>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磋商小组依据有关法律法规和磋商文件的规定，对供应商资格进行审查。</w:t>
      </w:r>
      <w:r>
        <w:rPr>
          <w:rFonts w:hint="eastAsia" w:ascii="宋体" w:hAnsi="宋体" w:cs="微软雅黑"/>
          <w:color w:val="auto"/>
          <w:szCs w:val="21"/>
          <w:highlight w:val="none"/>
        </w:rPr>
        <w:t>以确定供应商是否具备磋商资格。</w:t>
      </w:r>
    </w:p>
    <w:p w14:paraId="012ED205">
      <w:pPr>
        <w:pStyle w:val="43"/>
        <w:numPr>
          <w:ilvl w:val="0"/>
          <w:numId w:val="33"/>
        </w:numPr>
        <w:autoSpaceDE w:val="0"/>
        <w:autoSpaceDN w:val="0"/>
        <w:spacing w:line="360" w:lineRule="auto"/>
        <w:ind w:left="993" w:hanging="993"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磋商小组对通过资格审查的响应文件进行审查，以确定其是否满足磋商文件的实质性要求。</w:t>
      </w:r>
    </w:p>
    <w:p w14:paraId="47E53610">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审查、评价响应文件是否符合磋商文件的商务、技术等实质性要求。</w:t>
      </w:r>
    </w:p>
    <w:p w14:paraId="077E9B09">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可要求供应商对响应文件有关事项作出澄清或者说明。</w:t>
      </w:r>
    </w:p>
    <w:p w14:paraId="44D0F524">
      <w:pPr>
        <w:pStyle w:val="43"/>
        <w:autoSpaceDE w:val="0"/>
        <w:autoSpaceDN w:val="0"/>
        <w:spacing w:line="360" w:lineRule="auto"/>
        <w:ind w:left="964" w:firstLine="0" w:firstLineChars="0"/>
        <w:contextualSpacing/>
        <w:rPr>
          <w:rFonts w:ascii="宋体" w:hAnsi="宋体"/>
          <w:color w:val="auto"/>
          <w:kern w:val="0"/>
          <w:szCs w:val="21"/>
          <w:highlight w:val="none"/>
        </w:rPr>
      </w:pPr>
    </w:p>
    <w:p w14:paraId="542920B8">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响应文件的澄清</w:t>
      </w:r>
    </w:p>
    <w:p w14:paraId="01DD7363">
      <w:pPr>
        <w:pStyle w:val="43"/>
        <w:numPr>
          <w:ilvl w:val="0"/>
          <w:numId w:val="0"/>
        </w:numPr>
        <w:autoSpaceDE w:val="0"/>
        <w:autoSpaceDN w:val="0"/>
        <w:spacing w:line="360" w:lineRule="auto"/>
        <w:ind w:leftChars="0"/>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 xml:space="preserve">26.1    </w:t>
      </w:r>
      <w:r>
        <w:rPr>
          <w:rFonts w:hint="eastAsia" w:ascii="宋体" w:hAnsi="宋体"/>
          <w:color w:val="auto"/>
          <w:kern w:val="0"/>
          <w:szCs w:val="21"/>
          <w:highlight w:val="none"/>
        </w:rPr>
        <w:t xml:space="preserve"> </w:t>
      </w:r>
      <w:r>
        <w:rPr>
          <w:rFonts w:ascii="宋体" w:hAnsi="宋体"/>
          <w:color w:val="auto"/>
          <w:kern w:val="0"/>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95B5079">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w:t>
      </w:r>
      <w:r>
        <w:rPr>
          <w:rFonts w:ascii="宋体" w:hAnsi="宋体"/>
          <w:color w:val="auto"/>
          <w:kern w:val="0"/>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4CB447EC">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供应商的澄清文件是其响应文件的组成部分。</w:t>
      </w:r>
    </w:p>
    <w:p w14:paraId="20DFB437">
      <w:pPr>
        <w:pStyle w:val="43"/>
        <w:autoSpaceDE w:val="0"/>
        <w:autoSpaceDN w:val="0"/>
        <w:spacing w:line="360" w:lineRule="auto"/>
        <w:ind w:left="964" w:firstLine="0" w:firstLineChars="0"/>
        <w:contextualSpacing/>
        <w:rPr>
          <w:rFonts w:ascii="宋体" w:hAnsi="宋体"/>
          <w:color w:val="auto"/>
          <w:kern w:val="0"/>
          <w:szCs w:val="21"/>
          <w:highlight w:val="none"/>
        </w:rPr>
      </w:pPr>
    </w:p>
    <w:p w14:paraId="5F5FBF7E">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响应文件报价出现前后不一致的修正</w:t>
      </w:r>
    </w:p>
    <w:p w14:paraId="53F0F416">
      <w:pPr>
        <w:pStyle w:val="43"/>
        <w:numPr>
          <w:ilvl w:val="0"/>
          <w:numId w:val="34"/>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响应文件中开标一览表(报价表)内容与响应文件中相应内容不一致的，以开标一览表(报价表)为准；</w:t>
      </w:r>
    </w:p>
    <w:p w14:paraId="3D4D5BC2">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大写金额和小写金额不一致的，以大写金额为准；</w:t>
      </w:r>
    </w:p>
    <w:p w14:paraId="6C97CB6E">
      <w:pPr>
        <w:pStyle w:val="43"/>
        <w:numPr>
          <w:ilvl w:val="1"/>
          <w:numId w:val="7"/>
        </w:numPr>
        <w:autoSpaceDE w:val="0"/>
        <w:autoSpaceDN w:val="0"/>
        <w:spacing w:line="360" w:lineRule="auto"/>
        <w:ind w:hanging="964" w:firstLineChars="0"/>
        <w:contextualSpacing/>
        <w:rPr>
          <w:rFonts w:ascii="Arial" w:hAnsi="Arial" w:cs="Arial"/>
          <w:color w:val="auto"/>
          <w:szCs w:val="21"/>
          <w:highlight w:val="none"/>
          <w:shd w:val="clear" w:color="auto" w:fill="FFFFFF"/>
        </w:rPr>
      </w:pPr>
      <w:r>
        <w:rPr>
          <w:rFonts w:hint="eastAsia" w:ascii="宋体" w:hAnsi="宋体"/>
          <w:color w:val="auto"/>
          <w:kern w:val="0"/>
          <w:szCs w:val="21"/>
          <w:highlight w:val="none"/>
        </w:rPr>
        <w:t xml:space="preserve"> 单价金额小数点或者百分比有明显错位的，以开标一览表的总价为准，并修改单价；</w:t>
      </w:r>
    </w:p>
    <w:p w14:paraId="182B40A7">
      <w:pPr>
        <w:pStyle w:val="43"/>
        <w:numPr>
          <w:ilvl w:val="1"/>
          <w:numId w:val="7"/>
        </w:numPr>
        <w:autoSpaceDE w:val="0"/>
        <w:autoSpaceDN w:val="0"/>
        <w:spacing w:line="360" w:lineRule="auto"/>
        <w:ind w:hanging="964" w:firstLineChars="0"/>
        <w:contextualSpacing/>
        <w:rPr>
          <w:rFonts w:ascii="Arial" w:hAnsi="Arial" w:cs="Arial"/>
          <w:color w:val="auto"/>
          <w:szCs w:val="21"/>
          <w:highlight w:val="none"/>
          <w:shd w:val="clear" w:color="auto" w:fill="FFFFFF"/>
        </w:rPr>
      </w:pPr>
      <w:r>
        <w:rPr>
          <w:rFonts w:hint="eastAsia" w:ascii="宋体" w:hAnsi="宋体"/>
          <w:color w:val="auto"/>
          <w:kern w:val="0"/>
          <w:szCs w:val="21"/>
          <w:highlight w:val="none"/>
        </w:rPr>
        <w:t xml:space="preserve"> 总价金额与按单价汇总金额不一致的，以单价金额计算结果为准。同时出现两种以上不一致的，按照前款规定的顺序修正。修正后的报价按照“供应商须知”26.2规定经供应商确认后产生约束力，供应商不确认的，其投标无效。</w:t>
      </w:r>
      <w:r>
        <w:rPr>
          <w:rFonts w:hint="eastAsia" w:ascii="宋体" w:hAnsi="宋体"/>
          <w:color w:val="auto"/>
          <w:kern w:val="0"/>
          <w:szCs w:val="21"/>
          <w:highlight w:val="none"/>
          <w:lang w:val="en-US" w:eastAsia="zh-CN"/>
        </w:rPr>
        <w:t xml:space="preserve"> </w:t>
      </w:r>
    </w:p>
    <w:p w14:paraId="0B36501F">
      <w:pPr>
        <w:autoSpaceDE w:val="0"/>
        <w:autoSpaceDN w:val="0"/>
        <w:spacing w:line="360" w:lineRule="auto"/>
        <w:ind w:left="964"/>
        <w:contextualSpacing/>
        <w:rPr>
          <w:rFonts w:ascii="宋体" w:hAnsi="宋体"/>
          <w:color w:val="auto"/>
          <w:kern w:val="0"/>
          <w:szCs w:val="21"/>
          <w:highlight w:val="none"/>
        </w:rPr>
      </w:pPr>
    </w:p>
    <w:p w14:paraId="6382041B">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响应无效情形</w:t>
      </w:r>
    </w:p>
    <w:p w14:paraId="28E5C108">
      <w:pPr>
        <w:pStyle w:val="43"/>
        <w:numPr>
          <w:ilvl w:val="0"/>
          <w:numId w:val="35"/>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 xml:space="preserve"> 响应文件属下列情况之一的，按照无效响应处理：</w:t>
      </w:r>
    </w:p>
    <w:p w14:paraId="2B66D4C9">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（1）未按照磋商文件的规定提交响应承诺函的；</w:t>
      </w:r>
    </w:p>
    <w:p w14:paraId="22BB9E1B">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（2） 响应文件未按磋商文件要求签署、盖章的；</w:t>
      </w:r>
    </w:p>
    <w:p w14:paraId="7AFA9C04">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（3） 不具备磋商文件中规定的资格要求的；</w:t>
      </w:r>
    </w:p>
    <w:p w14:paraId="05D58FCE">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（4） 报价超过磋商文件中规定的预算金额或者最高限价的；</w:t>
      </w:r>
    </w:p>
    <w:p w14:paraId="4447A48B">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（5） 响应</w:t>
      </w:r>
      <w:r>
        <w:rPr>
          <w:rFonts w:ascii="宋体" w:hAnsi="宋体"/>
          <w:color w:val="auto"/>
          <w:kern w:val="0"/>
          <w:szCs w:val="21"/>
          <w:highlight w:val="none"/>
        </w:rPr>
        <w:t>文件含有采购人不能接受的附加条件的</w:t>
      </w:r>
      <w:r>
        <w:rPr>
          <w:rFonts w:hint="eastAsia" w:ascii="宋体" w:hAnsi="宋体"/>
          <w:color w:val="auto"/>
          <w:kern w:val="0"/>
          <w:szCs w:val="21"/>
          <w:highlight w:val="none"/>
        </w:rPr>
        <w:t>。</w:t>
      </w:r>
    </w:p>
    <w:p w14:paraId="2C4B723B">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有下列情形之一的，视为供应商串通投标，其响应无效：</w:t>
      </w:r>
    </w:p>
    <w:p w14:paraId="341F8384">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（1） 不同供应商的响应文件由同一单位或者个人编制；</w:t>
      </w:r>
    </w:p>
    <w:p w14:paraId="4DC10E5D">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（2） 不同供应商委托同一单位或者个人办理投标事宜；</w:t>
      </w:r>
    </w:p>
    <w:p w14:paraId="639FFC3F">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（3） 不同供应商的响应文件载明的项目管理成员或者联系人员为同一人；</w:t>
      </w:r>
    </w:p>
    <w:p w14:paraId="65D3285B">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（4） 不同供应商的响应文件异常一致或者投标报价呈规律性差异；</w:t>
      </w:r>
    </w:p>
    <w:p w14:paraId="1C5DF859">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（5） 不同供应商的响应文件相互混装；</w:t>
      </w:r>
    </w:p>
    <w:p w14:paraId="380B85EA">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供应商应当遵循公平竞争的原则，不得恶意串通，不得妨碍其他供应商的竞争行为，不得损害采购人或者其他供应商的合法权益。在评审过程中发现投标人有上述情形的，磋商小组应当认定其响应无效，并书面报告本级财政部门。</w:t>
      </w:r>
    </w:p>
    <w:p w14:paraId="65255D99">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法律、法规和</w:t>
      </w:r>
      <w:r>
        <w:rPr>
          <w:rFonts w:hint="eastAsia" w:ascii="宋体" w:hAnsi="宋体"/>
          <w:color w:val="auto"/>
          <w:kern w:val="0"/>
          <w:szCs w:val="21"/>
          <w:highlight w:val="none"/>
        </w:rPr>
        <w:t>磋商</w:t>
      </w:r>
      <w:r>
        <w:rPr>
          <w:rFonts w:ascii="宋体" w:hAnsi="宋体"/>
          <w:color w:val="auto"/>
          <w:kern w:val="0"/>
          <w:szCs w:val="21"/>
          <w:highlight w:val="none"/>
        </w:rPr>
        <w:t>文件规定的其他无效情形。</w:t>
      </w:r>
    </w:p>
    <w:p w14:paraId="5EE42501">
      <w:pPr>
        <w:pStyle w:val="43"/>
        <w:autoSpaceDE w:val="0"/>
        <w:autoSpaceDN w:val="0"/>
        <w:spacing w:line="360" w:lineRule="auto"/>
        <w:ind w:left="964" w:firstLine="0" w:firstLineChars="0"/>
        <w:contextualSpacing/>
        <w:rPr>
          <w:rFonts w:ascii="宋体" w:hAnsi="宋体"/>
          <w:color w:val="auto"/>
          <w:kern w:val="0"/>
          <w:szCs w:val="21"/>
          <w:highlight w:val="none"/>
        </w:rPr>
      </w:pPr>
    </w:p>
    <w:p w14:paraId="014C5F03">
      <w:pPr>
        <w:pStyle w:val="43"/>
        <w:numPr>
          <w:ilvl w:val="0"/>
          <w:numId w:val="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磋商</w:t>
      </w:r>
    </w:p>
    <w:p w14:paraId="429B67B5">
      <w:pPr>
        <w:pStyle w:val="43"/>
        <w:numPr>
          <w:ilvl w:val="0"/>
          <w:numId w:val="35"/>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磋商小组与通过响应文件初审，即实质性响应磋商文件的供应商分别进行磋商</w:t>
      </w:r>
      <w:r>
        <w:rPr>
          <w:rFonts w:ascii="宋体" w:hAnsi="宋体"/>
          <w:color w:val="auto"/>
          <w:kern w:val="0"/>
          <w:szCs w:val="21"/>
          <w:highlight w:val="none"/>
        </w:rPr>
        <w:t>。</w:t>
      </w:r>
    </w:p>
    <w:p w14:paraId="27D87B31">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磋商小组所有成员应当集中与单一供应商分别进行磋商，并给予所有参加磋商的供应商平等的磋商机会。</w:t>
      </w:r>
    </w:p>
    <w:p w14:paraId="65231A8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在磋商中，磋商的任何一方不得透露与磋商有关的其他供应商的技术资料、价格和其他信息。</w:t>
      </w:r>
    </w:p>
    <w:p w14:paraId="77F1B120">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磋商小组根据项目情况可进行一轮或多轮磋商。</w:t>
      </w:r>
    </w:p>
    <w:p w14:paraId="704EE407">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将及时以书面形式同时通知所有参加磋商的供应商。</w:t>
      </w:r>
    </w:p>
    <w:p w14:paraId="1AFB5E47">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磋商文件能够详细列明采购标的的技术、服务要求的，磋商结束后，磋商小组应当要求所有实质性响应的供应商在规定时间内提交最后报价，提交最后报价的供应商不得少于3家。</w:t>
      </w:r>
    </w:p>
    <w:p w14:paraId="0540AC8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63EB2634">
      <w:pPr>
        <w:pStyle w:val="43"/>
        <w:numPr>
          <w:ilvl w:val="1"/>
          <w:numId w:val="7"/>
        </w:numPr>
        <w:autoSpaceDE w:val="0"/>
        <w:autoSpaceDN w:val="0"/>
        <w:spacing w:line="360" w:lineRule="auto"/>
        <w:ind w:hanging="964" w:firstLineChars="0"/>
        <w:contextualSpacing/>
        <w:rPr>
          <w:rFonts w:ascii="Arial" w:hAnsi="Arial" w:cs="Arial"/>
          <w:color w:val="auto"/>
          <w:szCs w:val="21"/>
          <w:highlight w:val="none"/>
          <w:shd w:val="clear" w:color="auto" w:fill="FFFFFF"/>
        </w:rPr>
      </w:pPr>
      <w:r>
        <w:rPr>
          <w:rFonts w:hint="eastAsia" w:ascii="宋体" w:hAnsi="宋体"/>
          <w:color w:val="auto"/>
          <w:kern w:val="0"/>
          <w:szCs w:val="21"/>
          <w:highlight w:val="none"/>
        </w:rPr>
        <w:t>如磋商中出现符合《财政部关于政府采购竞争性磋商采购方式管理暂行办法有关问题的补充通知》（财库〔2015〕124号）中的情形，则按财政部通知要求执行。</w:t>
      </w:r>
    </w:p>
    <w:p w14:paraId="6D4E351A">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最后报价是供应商响应文件的有效组成部分。符合《政府采购竞争性磋商采购方式管理暂行办法》【（财库2014）214号】第三条第四项情形的，提交最后报价的供应商可以为2家。</w:t>
      </w:r>
    </w:p>
    <w:p w14:paraId="2181C2CC">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已提交响应文件的供应商，在提交最后报价之前，可以根据磋商情况退出磋商。</w:t>
      </w:r>
    </w:p>
    <w:p w14:paraId="28E2ED9C">
      <w:pPr>
        <w:pStyle w:val="43"/>
        <w:autoSpaceDE w:val="0"/>
        <w:autoSpaceDN w:val="0"/>
        <w:spacing w:line="360" w:lineRule="auto"/>
        <w:ind w:left="420" w:firstLine="0" w:firstLineChars="0"/>
        <w:contextualSpacing/>
        <w:rPr>
          <w:rFonts w:ascii="宋体" w:hAnsi="宋体"/>
          <w:b/>
          <w:color w:val="auto"/>
          <w:kern w:val="0"/>
          <w:szCs w:val="21"/>
          <w:highlight w:val="none"/>
        </w:rPr>
      </w:pPr>
    </w:p>
    <w:p w14:paraId="61E6CF50">
      <w:pPr>
        <w:pStyle w:val="43"/>
        <w:numPr>
          <w:ilvl w:val="0"/>
          <w:numId w:val="36"/>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响应文件的比较与评价</w:t>
      </w:r>
    </w:p>
    <w:p w14:paraId="23D3379A">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磋商小组按照磋商文件中规定的评标方法和标准，对符合性审查合格的投标文件进行商务和技术评估，综合比较与评价。</w:t>
      </w:r>
    </w:p>
    <w:p w14:paraId="454D63B2">
      <w:pPr>
        <w:autoSpaceDE w:val="0"/>
        <w:autoSpaceDN w:val="0"/>
        <w:spacing w:line="360" w:lineRule="auto"/>
        <w:ind w:left="964"/>
        <w:contextualSpacing/>
        <w:rPr>
          <w:rFonts w:ascii="宋体" w:hAnsi="宋体"/>
          <w:color w:val="auto"/>
          <w:kern w:val="0"/>
          <w:szCs w:val="21"/>
          <w:highlight w:val="none"/>
        </w:rPr>
      </w:pPr>
    </w:p>
    <w:p w14:paraId="460CC97F">
      <w:pPr>
        <w:pStyle w:val="43"/>
        <w:numPr>
          <w:ilvl w:val="0"/>
          <w:numId w:val="36"/>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综合评分法</w:t>
      </w:r>
    </w:p>
    <w:p w14:paraId="56EAC9C2">
      <w:pPr>
        <w:pStyle w:val="43"/>
        <w:numPr>
          <w:ilvl w:val="0"/>
          <w:numId w:val="0"/>
        </w:numPr>
        <w:autoSpaceDE w:val="0"/>
        <w:autoSpaceDN w:val="0"/>
        <w:spacing w:line="360" w:lineRule="auto"/>
        <w:ind w:left="840" w:leftChars="0" w:hanging="840" w:hangingChars="400"/>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 xml:space="preserve">31.1    </w:t>
      </w:r>
      <w:r>
        <w:rPr>
          <w:rFonts w:ascii="宋体" w:hAnsi="宋体"/>
          <w:color w:val="auto"/>
          <w:kern w:val="0"/>
          <w:szCs w:val="21"/>
          <w:highlight w:val="none"/>
        </w:rPr>
        <w:t>经磋商确定最终采购需求和提交最后报价的供应商后，由磋商小组采用综合评分法对提交最后报价的供应商的响应文件和最后报价进行综合评分。</w:t>
      </w:r>
    </w:p>
    <w:p w14:paraId="2B29CAB4">
      <w:pPr>
        <w:pStyle w:val="43"/>
        <w:numPr>
          <w:ilvl w:val="0"/>
          <w:numId w:val="7"/>
        </w:numPr>
        <w:autoSpaceDE w:val="0"/>
        <w:autoSpaceDN w:val="0"/>
        <w:spacing w:line="360" w:lineRule="auto"/>
        <w:ind w:firstLineChars="0"/>
        <w:contextualSpacing/>
        <w:rPr>
          <w:rFonts w:ascii="宋体" w:hAnsi="宋体"/>
          <w:vanish/>
          <w:color w:val="auto"/>
          <w:kern w:val="0"/>
          <w:szCs w:val="21"/>
          <w:highlight w:val="none"/>
        </w:rPr>
      </w:pPr>
    </w:p>
    <w:p w14:paraId="18424B1E">
      <w:pPr>
        <w:pStyle w:val="43"/>
        <w:numPr>
          <w:ilvl w:val="0"/>
          <w:numId w:val="7"/>
        </w:numPr>
        <w:autoSpaceDE w:val="0"/>
        <w:autoSpaceDN w:val="0"/>
        <w:spacing w:line="360" w:lineRule="auto"/>
        <w:ind w:firstLineChars="0"/>
        <w:contextualSpacing/>
        <w:rPr>
          <w:rFonts w:ascii="宋体" w:hAnsi="宋体"/>
          <w:vanish/>
          <w:color w:val="auto"/>
          <w:kern w:val="0"/>
          <w:szCs w:val="21"/>
          <w:highlight w:val="none"/>
        </w:rPr>
      </w:pPr>
    </w:p>
    <w:p w14:paraId="2B77B724">
      <w:pPr>
        <w:pStyle w:val="43"/>
        <w:numPr>
          <w:ilvl w:val="1"/>
          <w:numId w:val="7"/>
        </w:numPr>
        <w:autoSpaceDE w:val="0"/>
        <w:autoSpaceDN w:val="0"/>
        <w:spacing w:line="360" w:lineRule="auto"/>
        <w:ind w:left="993" w:hanging="993" w:firstLineChars="0"/>
        <w:contextualSpacing/>
        <w:rPr>
          <w:rFonts w:ascii="宋体" w:hAnsi="宋体"/>
          <w:color w:val="auto"/>
          <w:kern w:val="0"/>
          <w:szCs w:val="21"/>
          <w:highlight w:val="none"/>
        </w:rPr>
      </w:pPr>
      <w:r>
        <w:rPr>
          <w:rFonts w:ascii="宋体" w:hAnsi="宋体"/>
          <w:color w:val="auto"/>
          <w:kern w:val="0"/>
          <w:szCs w:val="21"/>
          <w:highlight w:val="none"/>
        </w:rPr>
        <w:t>综合评分法，是指响应文件满足磋商文件全部实质性要求且按评审因素的量化指标评审得分最高的供应商为成交候选供应商的评审方法。</w:t>
      </w:r>
    </w:p>
    <w:p w14:paraId="6E656B98">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综合评分法评审标准中的分值设置应当与评审因素的量化指标相对应。磋商文件中没有规定的评审标准不得作为评审依据。</w:t>
      </w:r>
    </w:p>
    <w:p w14:paraId="101E418D">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评审时，磋商小组各成员应当独立对每个有效响应的文件进行评价、打分，然后汇总每个供应商每项评分因素的得分。</w:t>
      </w:r>
    </w:p>
    <w:p w14:paraId="0B2E5283">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ascii="宋体" w:hAnsi="宋体"/>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14:paraId="07B63DCF">
      <w:pPr>
        <w:pStyle w:val="43"/>
        <w:autoSpaceDE w:val="0"/>
        <w:autoSpaceDN w:val="0"/>
        <w:spacing w:line="360" w:lineRule="auto"/>
        <w:ind w:left="964" w:firstLine="0" w:firstLineChars="0"/>
        <w:contextualSpacing/>
        <w:rPr>
          <w:rFonts w:ascii="宋体" w:hAnsi="宋体"/>
          <w:color w:val="auto"/>
          <w:kern w:val="0"/>
          <w:szCs w:val="21"/>
          <w:highlight w:val="none"/>
        </w:rPr>
      </w:pPr>
      <w:r>
        <w:rPr>
          <w:rFonts w:ascii="宋体" w:hAnsi="宋体"/>
          <w:color w:val="auto"/>
          <w:kern w:val="0"/>
          <w:szCs w:val="21"/>
          <w:highlight w:val="none"/>
        </w:rPr>
        <w:t>磋商报价得分=（磋商基准价/最后磋商报价）×价格权值×100</w:t>
      </w:r>
    </w:p>
    <w:p w14:paraId="293E50B7">
      <w:pPr>
        <w:pStyle w:val="43"/>
        <w:autoSpaceDE w:val="0"/>
        <w:autoSpaceDN w:val="0"/>
        <w:spacing w:line="360" w:lineRule="auto"/>
        <w:ind w:left="964" w:firstLine="0" w:firstLineChars="0"/>
        <w:contextualSpacing/>
        <w:rPr>
          <w:rFonts w:ascii="宋体" w:hAnsi="宋体"/>
          <w:color w:val="auto"/>
          <w:kern w:val="0"/>
          <w:szCs w:val="21"/>
          <w:highlight w:val="none"/>
        </w:rPr>
      </w:pPr>
      <w:r>
        <w:rPr>
          <w:rFonts w:ascii="宋体" w:hAnsi="宋体"/>
          <w:color w:val="auto"/>
          <w:kern w:val="0"/>
          <w:szCs w:val="21"/>
          <w:highlight w:val="none"/>
        </w:rPr>
        <w:t>项目评审过程中，不得去掉最后报价中的最高报价和最低报价。</w:t>
      </w:r>
    </w:p>
    <w:p w14:paraId="26DFC6D9">
      <w:pPr>
        <w:pStyle w:val="43"/>
        <w:numPr>
          <w:ilvl w:val="1"/>
          <w:numId w:val="7"/>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本项目具体评分标准见（第六章 评审程序和评审标准）。</w:t>
      </w:r>
    </w:p>
    <w:p w14:paraId="3F078518">
      <w:pPr>
        <w:pStyle w:val="43"/>
        <w:autoSpaceDE w:val="0"/>
        <w:autoSpaceDN w:val="0"/>
        <w:spacing w:line="360" w:lineRule="auto"/>
        <w:ind w:left="964" w:firstLine="0" w:firstLineChars="0"/>
        <w:contextualSpacing/>
        <w:rPr>
          <w:rFonts w:ascii="宋体" w:hAnsi="宋体"/>
          <w:color w:val="auto"/>
          <w:kern w:val="0"/>
          <w:szCs w:val="21"/>
          <w:highlight w:val="none"/>
        </w:rPr>
      </w:pPr>
    </w:p>
    <w:p w14:paraId="068F395C">
      <w:pPr>
        <w:pStyle w:val="43"/>
        <w:numPr>
          <w:ilvl w:val="0"/>
          <w:numId w:val="37"/>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推荐成交候选人</w:t>
      </w:r>
    </w:p>
    <w:p w14:paraId="78CEA2C7">
      <w:pPr>
        <w:pStyle w:val="43"/>
        <w:numPr>
          <w:ilvl w:val="0"/>
          <w:numId w:val="0"/>
        </w:numPr>
        <w:autoSpaceDE w:val="0"/>
        <w:autoSpaceDN w:val="0"/>
        <w:spacing w:line="360" w:lineRule="auto"/>
        <w:ind w:left="840" w:leftChars="0" w:hanging="840" w:hangingChars="400"/>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 xml:space="preserve">32.1    </w:t>
      </w:r>
      <w:r>
        <w:rPr>
          <w:rFonts w:ascii="宋体" w:hAnsi="宋体"/>
          <w:color w:val="auto"/>
          <w:kern w:val="0"/>
          <w:szCs w:val="21"/>
          <w:highlight w:val="none"/>
        </w:rPr>
        <w:t>磋商小组应当根据综合评分情况，按照评审得分由高到低顺序推荐3名以上成交候选供应商，并编写评审报告。</w:t>
      </w:r>
      <w:r>
        <w:rPr>
          <w:rFonts w:hint="eastAsia" w:ascii="宋体" w:hAnsi="宋体"/>
          <w:color w:val="auto"/>
          <w:kern w:val="0"/>
          <w:szCs w:val="21"/>
          <w:highlight w:val="none"/>
        </w:rPr>
        <w:t>符合《政府采购竞争性磋商采购方式管理暂行办法》【（财库2014）214号】第二十一条第三款情形的，可以推荐2家成交候选供应商。</w:t>
      </w:r>
      <w:r>
        <w:rPr>
          <w:rFonts w:ascii="宋体" w:hAnsi="宋体"/>
          <w:color w:val="auto"/>
          <w:kern w:val="0"/>
          <w:szCs w:val="21"/>
          <w:highlight w:val="none"/>
        </w:rPr>
        <w:t>评审得分相同的，按照最后报价由低到高的顺序推荐。评审得分且最后报价相同的，按照技术指标优劣顺序推荐。</w:t>
      </w:r>
    </w:p>
    <w:p w14:paraId="348981CC">
      <w:pPr>
        <w:pStyle w:val="43"/>
        <w:numPr>
          <w:ilvl w:val="0"/>
          <w:numId w:val="0"/>
        </w:numPr>
        <w:autoSpaceDE w:val="0"/>
        <w:autoSpaceDN w:val="0"/>
        <w:spacing w:line="360" w:lineRule="auto"/>
        <w:ind w:left="840" w:leftChars="0" w:hanging="840" w:hangingChars="400"/>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 xml:space="preserve">32.2    </w:t>
      </w:r>
      <w:r>
        <w:rPr>
          <w:rFonts w:ascii="宋体" w:hAnsi="宋体"/>
          <w:color w:val="auto"/>
          <w:kern w:val="0"/>
          <w:szCs w:val="21"/>
          <w:highlight w:val="none"/>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588073D4">
      <w:pPr>
        <w:pStyle w:val="43"/>
        <w:autoSpaceDE w:val="0"/>
        <w:autoSpaceDN w:val="0"/>
        <w:spacing w:line="360" w:lineRule="auto"/>
        <w:ind w:left="964" w:firstLine="0" w:firstLineChars="0"/>
        <w:contextualSpacing/>
        <w:rPr>
          <w:rFonts w:ascii="宋体" w:hAnsi="宋体"/>
          <w:color w:val="auto"/>
          <w:kern w:val="0"/>
          <w:szCs w:val="21"/>
          <w:highlight w:val="none"/>
        </w:rPr>
      </w:pPr>
    </w:p>
    <w:p w14:paraId="1597E666">
      <w:pPr>
        <w:autoSpaceDE w:val="0"/>
        <w:autoSpaceDN w:val="0"/>
        <w:spacing w:line="360" w:lineRule="auto"/>
        <w:contextualSpacing/>
        <w:rPr>
          <w:rFonts w:ascii="宋体" w:hAnsi="宋体"/>
          <w:b/>
          <w:color w:val="auto"/>
          <w:kern w:val="0"/>
          <w:szCs w:val="21"/>
          <w:highlight w:val="none"/>
        </w:rPr>
      </w:pPr>
      <w:r>
        <w:rPr>
          <w:rFonts w:hint="eastAsia" w:ascii="宋体" w:hAnsi="宋体"/>
          <w:b/>
          <w:color w:val="auto"/>
          <w:kern w:val="0"/>
          <w:szCs w:val="21"/>
          <w:highlight w:val="none"/>
        </w:rPr>
        <w:t>33.保密</w:t>
      </w:r>
    </w:p>
    <w:p w14:paraId="2B57792D">
      <w:pPr>
        <w:pStyle w:val="43"/>
        <w:numPr>
          <w:ilvl w:val="0"/>
          <w:numId w:val="38"/>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评审专家应当遵守评审工作纪律，不得泄露评审文件、评审情况和评审中获悉的商业秘密。</w:t>
      </w:r>
    </w:p>
    <w:p w14:paraId="7B0430CB">
      <w:pPr>
        <w:pStyle w:val="43"/>
        <w:numPr>
          <w:ilvl w:val="1"/>
          <w:numId w:val="39"/>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采购人、采购代理机构应当采取必要措施，保证评标在严格保密的情况下进行。有关人员对评审情况以及在评审过程中获悉的国家秘密、商业秘密负有保密责任。</w:t>
      </w:r>
    </w:p>
    <w:p w14:paraId="4A07AD53">
      <w:pPr>
        <w:tabs>
          <w:tab w:val="left" w:pos="1260"/>
        </w:tabs>
        <w:autoSpaceDE w:val="0"/>
        <w:autoSpaceDN w:val="0"/>
        <w:spacing w:line="360" w:lineRule="auto"/>
        <w:contextualSpacing/>
        <w:rPr>
          <w:rFonts w:ascii="宋体" w:hAnsi="宋体" w:cs="仿宋_GB2312"/>
          <w:color w:val="auto"/>
          <w:szCs w:val="21"/>
          <w:highlight w:val="none"/>
          <w:lang w:val="zh-CN"/>
        </w:rPr>
      </w:pPr>
    </w:p>
    <w:p w14:paraId="144A06D9">
      <w:pPr>
        <w:tabs>
          <w:tab w:val="left" w:pos="1260"/>
        </w:tabs>
        <w:autoSpaceDE w:val="0"/>
        <w:autoSpaceDN w:val="0"/>
        <w:spacing w:line="360" w:lineRule="auto"/>
        <w:contextualSpacing/>
        <w:jc w:val="center"/>
        <w:rPr>
          <w:rFonts w:ascii="宋体" w:hAnsi="宋体"/>
          <w:b/>
          <w:color w:val="auto"/>
          <w:kern w:val="0"/>
          <w:szCs w:val="21"/>
          <w:highlight w:val="none"/>
        </w:rPr>
      </w:pPr>
      <w:r>
        <w:rPr>
          <w:rFonts w:hint="eastAsia" w:ascii="宋体" w:hAnsi="宋体"/>
          <w:b/>
          <w:color w:val="auto"/>
          <w:kern w:val="0"/>
          <w:szCs w:val="21"/>
          <w:highlight w:val="none"/>
        </w:rPr>
        <w:t>六、成交和授予合同</w:t>
      </w:r>
    </w:p>
    <w:p w14:paraId="1A32A100">
      <w:pPr>
        <w:pStyle w:val="43"/>
        <w:numPr>
          <w:ilvl w:val="0"/>
          <w:numId w:val="39"/>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确定成交供应商</w:t>
      </w:r>
    </w:p>
    <w:p w14:paraId="47B1934D">
      <w:pPr>
        <w:pStyle w:val="43"/>
        <w:autoSpaceDE w:val="0"/>
        <w:autoSpaceDN w:val="0"/>
        <w:spacing w:line="360" w:lineRule="auto"/>
        <w:ind w:left="964" w:firstLine="0" w:firstLineChars="0"/>
        <w:contextualSpacing/>
        <w:rPr>
          <w:rFonts w:ascii="宋体" w:hAnsi="宋体"/>
          <w:color w:val="auto"/>
          <w:kern w:val="0"/>
          <w:szCs w:val="21"/>
          <w:highlight w:val="none"/>
        </w:rPr>
      </w:pPr>
      <w:r>
        <w:rPr>
          <w:rFonts w:ascii="宋体" w:hAnsi="宋体" w:cs="Arial"/>
          <w:color w:val="auto"/>
          <w:szCs w:val="21"/>
          <w:highlight w:val="none"/>
          <w:shd w:val="clear" w:color="auto" w:fill="FFFFFF"/>
        </w:rPr>
        <w:t>采购人应当在收到评审报告后5个工作日内，从评审报告提出的成交候选供应商中，按照排序由高到低的原则确定成交供应商。采购人逾期未确定成交供应商且不提出异议的，视为确定评审报告提出的排序第一的供应商为成交供应商。</w:t>
      </w:r>
    </w:p>
    <w:p w14:paraId="534BC0BF">
      <w:pPr>
        <w:pStyle w:val="43"/>
        <w:autoSpaceDE w:val="0"/>
        <w:autoSpaceDN w:val="0"/>
        <w:spacing w:line="360" w:lineRule="auto"/>
        <w:ind w:left="964" w:firstLine="0" w:firstLineChars="0"/>
        <w:contextualSpacing/>
        <w:rPr>
          <w:rFonts w:ascii="宋体" w:hAnsi="宋体"/>
          <w:color w:val="auto"/>
          <w:kern w:val="0"/>
          <w:szCs w:val="21"/>
          <w:highlight w:val="none"/>
        </w:rPr>
      </w:pPr>
    </w:p>
    <w:p w14:paraId="0386228F">
      <w:pPr>
        <w:pStyle w:val="43"/>
        <w:numPr>
          <w:ilvl w:val="0"/>
          <w:numId w:val="40"/>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中标公告、发出中标通知书</w:t>
      </w:r>
    </w:p>
    <w:p w14:paraId="3828AED2">
      <w:pPr>
        <w:autoSpaceDE w:val="0"/>
        <w:autoSpaceDN w:val="0"/>
        <w:spacing w:line="360" w:lineRule="auto"/>
        <w:ind w:left="1050" w:hanging="1050" w:hangingChars="500"/>
        <w:contextualSpacing/>
        <w:rPr>
          <w:rFonts w:ascii="宋体" w:hAnsi="宋体"/>
          <w:color w:val="auto"/>
          <w:kern w:val="0"/>
          <w:szCs w:val="21"/>
          <w:highlight w:val="none"/>
        </w:rPr>
      </w:pPr>
      <w:r>
        <w:rPr>
          <w:rFonts w:hint="eastAsia" w:ascii="宋体" w:hAnsi="宋体"/>
          <w:color w:val="auto"/>
          <w:kern w:val="0"/>
          <w:szCs w:val="21"/>
          <w:highlight w:val="none"/>
        </w:rPr>
        <w:t>35.1     采购人</w:t>
      </w:r>
      <w:r>
        <w:rPr>
          <w:rFonts w:ascii="宋体" w:hAnsi="宋体"/>
          <w:color w:val="auto"/>
          <w:kern w:val="0"/>
          <w:szCs w:val="21"/>
          <w:highlight w:val="none"/>
        </w:rPr>
        <w:t>应当在成交供应商确定后2个工作日内，在省级以上财政部门指定的政府采购信息发布媒体上公告成交结果，同时向成交供应商发出成交通知书，并将磋商文件随成交结果同时公告。</w:t>
      </w:r>
    </w:p>
    <w:p w14:paraId="225B31EB">
      <w:pPr>
        <w:pStyle w:val="43"/>
        <w:numPr>
          <w:ilvl w:val="1"/>
          <w:numId w:val="41"/>
        </w:numPr>
        <w:autoSpaceDE w:val="0"/>
        <w:autoSpaceDN w:val="0"/>
        <w:spacing w:line="360" w:lineRule="auto"/>
        <w:ind w:hanging="964" w:firstLineChars="0"/>
        <w:contextualSpacing/>
        <w:rPr>
          <w:rFonts w:ascii="宋体" w:hAnsi="宋体"/>
          <w:color w:val="auto"/>
          <w:kern w:val="0"/>
          <w:szCs w:val="21"/>
          <w:highlight w:val="none"/>
        </w:rPr>
      </w:pPr>
      <w:r>
        <w:rPr>
          <w:rFonts w:hint="eastAsia" w:ascii="宋体" w:hAnsi="宋体"/>
          <w:color w:val="auto"/>
          <w:kern w:val="0"/>
          <w:szCs w:val="21"/>
          <w:highlight w:val="none"/>
        </w:rPr>
        <w:t>成交供应商在接到成交通知时，须向代理机构发送投标报价及分项报价一览表（包含主要中标标的的名称、规格型号、数量、单价、服务要求等）电子文档，并同时通知代理机构联系人。</w:t>
      </w:r>
    </w:p>
    <w:p w14:paraId="31344E63">
      <w:pPr>
        <w:pStyle w:val="43"/>
        <w:autoSpaceDE w:val="0"/>
        <w:autoSpaceDN w:val="0"/>
        <w:spacing w:line="360" w:lineRule="auto"/>
        <w:ind w:left="964" w:firstLine="0" w:firstLineChars="0"/>
        <w:contextualSpacing/>
        <w:rPr>
          <w:rFonts w:ascii="宋体" w:hAnsi="宋体"/>
          <w:color w:val="auto"/>
          <w:kern w:val="0"/>
          <w:szCs w:val="21"/>
          <w:highlight w:val="none"/>
        </w:rPr>
      </w:pPr>
    </w:p>
    <w:p w14:paraId="736ACC0E">
      <w:pPr>
        <w:pStyle w:val="43"/>
        <w:numPr>
          <w:ilvl w:val="0"/>
          <w:numId w:val="41"/>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质疑提出与答复</w:t>
      </w:r>
    </w:p>
    <w:p w14:paraId="5FDEB346">
      <w:pPr>
        <w:pStyle w:val="43"/>
        <w:numPr>
          <w:ilvl w:val="0"/>
          <w:numId w:val="42"/>
        </w:numPr>
        <w:autoSpaceDE w:val="0"/>
        <w:autoSpaceDN w:val="0"/>
        <w:spacing w:line="360" w:lineRule="auto"/>
        <w:ind w:hanging="964" w:firstLineChars="0"/>
        <w:contextualSpacing/>
        <w:rPr>
          <w:rFonts w:ascii="宋体" w:hAnsi="宋体"/>
          <w:color w:val="auto"/>
          <w:kern w:val="0"/>
          <w:szCs w:val="21"/>
          <w:highlight w:val="none"/>
        </w:rPr>
      </w:pPr>
      <w:r>
        <w:rPr>
          <w:rFonts w:hint="eastAsia" w:ascii="新宋体" w:hAnsi="新宋体" w:eastAsia="新宋体" w:cs="仿宋_GB2312"/>
          <w:color w:val="auto"/>
          <w:szCs w:val="21"/>
          <w:highlight w:val="none"/>
          <w:lang w:val="zh-CN" w:eastAsia="zh-CN"/>
        </w:rPr>
        <w:t>供应商认为采购文件、采购过程和成交结果使自己的权益受到损害的，可以按照《政府采购质疑和投诉办法》（财政部令第94号）提出质疑。提出质疑的供应商应当是参与本项目采购活动的供应商。如未提出视为全面接受</w:t>
      </w:r>
      <w:r>
        <w:rPr>
          <w:rFonts w:ascii="宋体" w:hAnsi="宋体"/>
          <w:color w:val="auto"/>
          <w:kern w:val="0"/>
          <w:szCs w:val="21"/>
          <w:highlight w:val="none"/>
        </w:rPr>
        <w:t>。</w:t>
      </w:r>
    </w:p>
    <w:p w14:paraId="342A041D">
      <w:pPr>
        <w:pStyle w:val="43"/>
        <w:numPr>
          <w:ilvl w:val="0"/>
          <w:numId w:val="0"/>
        </w:numPr>
        <w:autoSpaceDE w:val="0"/>
        <w:autoSpaceDN w:val="0"/>
        <w:spacing w:line="360" w:lineRule="auto"/>
        <w:ind w:left="1050" w:leftChars="400" w:hanging="210" w:hangingChars="100"/>
        <w:contextualSpacing/>
        <w:rPr>
          <w:rFonts w:ascii="宋体" w:hAnsi="宋体"/>
          <w:color w:val="auto"/>
          <w:kern w:val="0"/>
          <w:szCs w:val="21"/>
          <w:highlight w:val="none"/>
        </w:rPr>
      </w:pPr>
      <w:r>
        <w:rPr>
          <w:rFonts w:hint="eastAsia" w:ascii="宋体" w:hAnsi="宋体"/>
          <w:color w:val="auto"/>
          <w:kern w:val="0"/>
          <w:szCs w:val="21"/>
          <w:highlight w:val="none"/>
        </w:rPr>
        <w:t xml:space="preserve">（1） </w:t>
      </w:r>
      <w:r>
        <w:rPr>
          <w:rFonts w:hint="eastAsia" w:ascii="新宋体" w:hAnsi="新宋体" w:eastAsia="新宋体" w:cs="仿宋_GB2312"/>
          <w:color w:val="auto"/>
          <w:szCs w:val="21"/>
          <w:highlight w:val="none"/>
          <w:lang w:val="zh-CN" w:eastAsia="zh-CN"/>
        </w:rPr>
        <w:t>对采购文件提出质疑的，潜在投标人应已依法获取采购文件，且应当在获取采购文件或者采购文件公告期限届满之日起7个工作日</w:t>
      </w:r>
      <w:r>
        <w:rPr>
          <w:rFonts w:cs="宋体" w:asciiTheme="minorEastAsia" w:hAnsiTheme="minorEastAsia"/>
          <w:kern w:val="0"/>
          <w:szCs w:val="21"/>
        </w:rPr>
        <w:t>内</w:t>
      </w:r>
      <w:r>
        <w:rPr>
          <w:rFonts w:hint="eastAsia" w:cs="宋体" w:asciiTheme="minorEastAsia" w:hAnsiTheme="minorEastAsia"/>
          <w:kern w:val="0"/>
          <w:szCs w:val="21"/>
        </w:rPr>
        <w:t>通过</w:t>
      </w:r>
      <w:r>
        <w:rPr>
          <w:rFonts w:hint="eastAsia" w:cs="宋体" w:asciiTheme="minorEastAsia" w:hAnsiTheme="minorEastAsia"/>
          <w:kern w:val="0"/>
          <w:szCs w:val="21"/>
          <w:lang w:val="en-US" w:eastAsia="zh-CN"/>
        </w:rPr>
        <w:t>新点</w:t>
      </w:r>
      <w:r>
        <w:rPr>
          <w:rFonts w:hint="eastAsia" w:cs="宋体" w:asciiTheme="minorEastAsia" w:hAnsiTheme="minorEastAsia"/>
          <w:kern w:val="0"/>
          <w:szCs w:val="21"/>
        </w:rPr>
        <w:t>交易系统一次性提出，逾期提交或未按照要求提交的质疑函将不予受理。质疑提出后</w:t>
      </w:r>
      <w:r>
        <w:rPr>
          <w:rFonts w:cs="宋体" w:asciiTheme="minorEastAsia" w:hAnsiTheme="minorEastAsia"/>
          <w:kern w:val="0"/>
          <w:szCs w:val="21"/>
        </w:rPr>
        <w:t>潜在</w:t>
      </w:r>
      <w:r>
        <w:rPr>
          <w:rFonts w:hint="eastAsia" w:cs="宋体" w:asciiTheme="minorEastAsia" w:hAnsiTheme="minorEastAsia"/>
          <w:kern w:val="0"/>
          <w:szCs w:val="21"/>
        </w:rPr>
        <w:t>投标人应及时联系招标公告中</w:t>
      </w:r>
      <w:r>
        <w:rPr>
          <w:rFonts w:hint="eastAsia" w:cs="宋体" w:asciiTheme="minorEastAsia" w:hAnsiTheme="minorEastAsia"/>
          <w:kern w:val="0"/>
          <w:szCs w:val="21"/>
          <w:lang w:val="en-US" w:eastAsia="zh-CN"/>
        </w:rPr>
        <w:t>代理</w:t>
      </w:r>
      <w:r>
        <w:rPr>
          <w:rFonts w:hint="eastAsia" w:cs="宋体" w:asciiTheme="minorEastAsia" w:hAnsiTheme="minorEastAsia"/>
          <w:kern w:val="0"/>
          <w:szCs w:val="21"/>
        </w:rPr>
        <w:t>机构联系人查看</w:t>
      </w:r>
      <w:r>
        <w:rPr>
          <w:rFonts w:hint="eastAsia" w:ascii="宋体" w:hAnsi="宋体"/>
          <w:color w:val="auto"/>
          <w:kern w:val="0"/>
          <w:szCs w:val="21"/>
          <w:highlight w:val="none"/>
        </w:rPr>
        <w:t>；</w:t>
      </w:r>
    </w:p>
    <w:p w14:paraId="00BCA3B0">
      <w:pPr>
        <w:pStyle w:val="43"/>
        <w:numPr>
          <w:ilvl w:val="0"/>
          <w:numId w:val="0"/>
        </w:numPr>
        <w:autoSpaceDE w:val="0"/>
        <w:autoSpaceDN w:val="0"/>
        <w:spacing w:line="360" w:lineRule="auto"/>
        <w:ind w:left="840" w:leftChars="400" w:firstLine="0" w:firstLineChars="0"/>
        <w:contextualSpacing/>
        <w:rPr>
          <w:rFonts w:ascii="宋体" w:hAnsi="宋体"/>
          <w:color w:val="auto"/>
          <w:kern w:val="0"/>
          <w:szCs w:val="21"/>
          <w:highlight w:val="none"/>
        </w:rPr>
      </w:pPr>
      <w:r>
        <w:rPr>
          <w:rFonts w:hint="eastAsia" w:ascii="宋体" w:hAnsi="宋体"/>
          <w:color w:val="auto"/>
          <w:kern w:val="0"/>
          <w:szCs w:val="21"/>
          <w:highlight w:val="none"/>
        </w:rPr>
        <w:t>（2）</w:t>
      </w:r>
      <w:r>
        <w:rPr>
          <w:rFonts w:hint="eastAsia" w:ascii="新宋体" w:hAnsi="新宋体" w:eastAsia="新宋体" w:cs="仿宋_GB2312"/>
          <w:color w:val="auto"/>
          <w:szCs w:val="21"/>
          <w:highlight w:val="none"/>
          <w:lang w:val="zh-CN" w:eastAsia="zh-CN"/>
        </w:rPr>
        <w:t xml:space="preserve"> 对采购过程提出质疑的，为各采购程序环节结束之日起七个工作日内</w:t>
      </w:r>
      <w:r>
        <w:rPr>
          <w:rFonts w:hint="eastAsia" w:cs="宋体" w:asciiTheme="minorEastAsia" w:hAnsiTheme="minorEastAsia"/>
          <w:kern w:val="0"/>
          <w:szCs w:val="21"/>
        </w:rPr>
        <w:t>通过</w:t>
      </w:r>
      <w:r>
        <w:rPr>
          <w:rFonts w:hint="eastAsia" w:cs="宋体" w:asciiTheme="minorEastAsia" w:hAnsiTheme="minorEastAsia"/>
          <w:kern w:val="0"/>
          <w:szCs w:val="21"/>
          <w:lang w:val="en-US" w:eastAsia="zh-CN"/>
        </w:rPr>
        <w:t>新点</w:t>
      </w:r>
      <w:r>
        <w:rPr>
          <w:rFonts w:hint="eastAsia" w:cs="宋体" w:asciiTheme="minorEastAsia" w:hAnsiTheme="minorEastAsia"/>
          <w:kern w:val="0"/>
          <w:szCs w:val="21"/>
        </w:rPr>
        <w:t>交易系统一次性提出，逾期提交或未按照要求提交的质疑函将不予受理。质疑提出后</w:t>
      </w:r>
      <w:r>
        <w:rPr>
          <w:rFonts w:cs="宋体" w:asciiTheme="minorEastAsia" w:hAnsiTheme="minorEastAsia"/>
          <w:kern w:val="0"/>
          <w:szCs w:val="21"/>
        </w:rPr>
        <w:t>潜在</w:t>
      </w:r>
      <w:r>
        <w:rPr>
          <w:rFonts w:hint="eastAsia" w:cs="宋体" w:asciiTheme="minorEastAsia" w:hAnsiTheme="minorEastAsia"/>
          <w:kern w:val="0"/>
          <w:szCs w:val="21"/>
        </w:rPr>
        <w:t>投标人应及时联系招标公告中</w:t>
      </w:r>
      <w:r>
        <w:rPr>
          <w:rFonts w:hint="eastAsia" w:cs="宋体" w:asciiTheme="minorEastAsia" w:hAnsiTheme="minorEastAsia"/>
          <w:kern w:val="0"/>
          <w:szCs w:val="21"/>
          <w:lang w:val="en-US" w:eastAsia="zh-CN"/>
        </w:rPr>
        <w:t>代理</w:t>
      </w:r>
      <w:r>
        <w:rPr>
          <w:rFonts w:hint="eastAsia" w:cs="宋体" w:asciiTheme="minorEastAsia" w:hAnsiTheme="minorEastAsia"/>
          <w:kern w:val="0"/>
          <w:szCs w:val="21"/>
        </w:rPr>
        <w:t>机构联系人查看</w:t>
      </w:r>
      <w:r>
        <w:rPr>
          <w:rFonts w:hint="eastAsia" w:ascii="宋体" w:hAnsi="宋体"/>
          <w:color w:val="auto"/>
          <w:kern w:val="0"/>
          <w:szCs w:val="21"/>
          <w:highlight w:val="none"/>
        </w:rPr>
        <w:t>；</w:t>
      </w:r>
    </w:p>
    <w:p w14:paraId="59DECFBE">
      <w:pPr>
        <w:pStyle w:val="43"/>
        <w:numPr>
          <w:ilvl w:val="0"/>
          <w:numId w:val="0"/>
        </w:numPr>
        <w:autoSpaceDE w:val="0"/>
        <w:autoSpaceDN w:val="0"/>
        <w:spacing w:line="360" w:lineRule="auto"/>
        <w:ind w:left="840" w:leftChars="300" w:hanging="210" w:hangingChars="100"/>
        <w:contextualSpacing/>
        <w:rPr>
          <w:rFonts w:ascii="宋体" w:hAnsi="宋体"/>
          <w:color w:val="auto"/>
          <w:kern w:val="0"/>
          <w:szCs w:val="21"/>
          <w:highlight w:val="none"/>
        </w:rPr>
      </w:pPr>
      <w:r>
        <w:rPr>
          <w:rFonts w:hint="eastAsia" w:ascii="宋体" w:hAnsi="宋体"/>
          <w:color w:val="auto"/>
          <w:kern w:val="0"/>
          <w:szCs w:val="21"/>
          <w:highlight w:val="none"/>
        </w:rPr>
        <w:t>（3）</w:t>
      </w:r>
      <w:r>
        <w:rPr>
          <w:rFonts w:hint="eastAsia" w:ascii="新宋体" w:hAnsi="新宋体" w:eastAsia="新宋体" w:cs="仿宋_GB2312"/>
          <w:color w:val="auto"/>
          <w:szCs w:val="21"/>
          <w:highlight w:val="none"/>
          <w:lang w:val="zh-CN" w:eastAsia="zh-CN"/>
        </w:rPr>
        <w:t xml:space="preserve"> 对成交结果提出质疑的，为成交结果公告期限届满之日起七个工作日内</w:t>
      </w:r>
      <w:r>
        <w:rPr>
          <w:rFonts w:hint="eastAsia" w:cs="宋体" w:asciiTheme="minorEastAsia" w:hAnsiTheme="minorEastAsia"/>
          <w:kern w:val="0"/>
          <w:szCs w:val="21"/>
        </w:rPr>
        <w:t>通过</w:t>
      </w:r>
      <w:r>
        <w:rPr>
          <w:rFonts w:hint="eastAsia" w:cs="宋体" w:asciiTheme="minorEastAsia" w:hAnsiTheme="minorEastAsia"/>
          <w:kern w:val="0"/>
          <w:szCs w:val="21"/>
          <w:lang w:val="en-US" w:eastAsia="zh-CN"/>
        </w:rPr>
        <w:t>新点</w:t>
      </w:r>
      <w:r>
        <w:rPr>
          <w:rFonts w:hint="eastAsia" w:cs="宋体" w:asciiTheme="minorEastAsia" w:hAnsiTheme="minorEastAsia"/>
          <w:kern w:val="0"/>
          <w:szCs w:val="21"/>
        </w:rPr>
        <w:t>交易系统一次性提出，逾期提交或未按照要求提交的质疑函将不予受理。质疑提出后</w:t>
      </w:r>
      <w:r>
        <w:rPr>
          <w:rFonts w:cs="宋体" w:asciiTheme="minorEastAsia" w:hAnsiTheme="minorEastAsia"/>
          <w:kern w:val="0"/>
          <w:szCs w:val="21"/>
        </w:rPr>
        <w:t>潜在</w:t>
      </w:r>
      <w:r>
        <w:rPr>
          <w:rFonts w:hint="eastAsia" w:cs="宋体" w:asciiTheme="minorEastAsia" w:hAnsiTheme="minorEastAsia"/>
          <w:kern w:val="0"/>
          <w:szCs w:val="21"/>
        </w:rPr>
        <w:t>投标人应及时联系招标公告中</w:t>
      </w:r>
      <w:r>
        <w:rPr>
          <w:rFonts w:hint="eastAsia" w:cs="宋体" w:asciiTheme="minorEastAsia" w:hAnsiTheme="minorEastAsia"/>
          <w:kern w:val="0"/>
          <w:szCs w:val="21"/>
          <w:lang w:val="en-US" w:eastAsia="zh-CN"/>
        </w:rPr>
        <w:t>代理</w:t>
      </w:r>
      <w:r>
        <w:rPr>
          <w:rFonts w:hint="eastAsia" w:cs="宋体" w:asciiTheme="minorEastAsia" w:hAnsiTheme="minorEastAsia"/>
          <w:kern w:val="0"/>
          <w:szCs w:val="21"/>
        </w:rPr>
        <w:t>机构联系人查看</w:t>
      </w:r>
      <w:r>
        <w:rPr>
          <w:rFonts w:hint="eastAsia" w:ascii="宋体" w:hAnsi="宋体"/>
          <w:color w:val="auto"/>
          <w:kern w:val="0"/>
          <w:szCs w:val="21"/>
          <w:highlight w:val="none"/>
        </w:rPr>
        <w:t>。</w:t>
      </w:r>
    </w:p>
    <w:p w14:paraId="3C241D4D">
      <w:pPr>
        <w:pStyle w:val="43"/>
        <w:numPr>
          <w:ilvl w:val="1"/>
          <w:numId w:val="43"/>
        </w:numPr>
        <w:autoSpaceDE w:val="0"/>
        <w:autoSpaceDN w:val="0"/>
        <w:spacing w:line="360" w:lineRule="auto"/>
        <w:ind w:hanging="964" w:firstLineChars="0"/>
        <w:contextualSpacing/>
        <w:rPr>
          <w:rFonts w:ascii="宋体" w:hAnsi="宋体"/>
          <w:color w:val="auto"/>
          <w:kern w:val="0"/>
          <w:szCs w:val="21"/>
          <w:highlight w:val="none"/>
        </w:rPr>
      </w:pPr>
      <w:r>
        <w:rPr>
          <w:rFonts w:hint="eastAsia" w:ascii="新宋体" w:hAnsi="新宋体" w:eastAsia="新宋体" w:cs="仿宋_GB2312"/>
          <w:color w:val="auto"/>
          <w:szCs w:val="21"/>
          <w:highlight w:val="none"/>
          <w:lang w:val="en-US" w:eastAsia="zh-CN"/>
        </w:rPr>
        <w:t xml:space="preserve"> </w:t>
      </w:r>
      <w:r>
        <w:rPr>
          <w:rFonts w:hint="eastAsia" w:ascii="新宋体" w:hAnsi="新宋体" w:eastAsia="新宋体" w:cs="仿宋_GB2312"/>
          <w:color w:val="auto"/>
          <w:szCs w:val="21"/>
          <w:highlight w:val="none"/>
          <w:lang w:val="zh-CN" w:eastAsia="zh-CN"/>
        </w:rPr>
        <w:t>采购人、采购代理机构认为供应商质疑不成立，或者成立但未对成交结果构成影响的，</w:t>
      </w:r>
      <w:r>
        <w:rPr>
          <w:rFonts w:hint="eastAsia" w:cs="宋体" w:asciiTheme="minorEastAsia" w:hAnsiTheme="minorEastAsia"/>
          <w:kern w:val="0"/>
          <w:szCs w:val="21"/>
        </w:rPr>
        <w:t>在收到质疑函7个工作日内通过</w:t>
      </w:r>
      <w:r>
        <w:rPr>
          <w:rFonts w:hint="eastAsia" w:cs="宋体" w:asciiTheme="minorEastAsia" w:hAnsiTheme="minorEastAsia"/>
          <w:kern w:val="0"/>
          <w:szCs w:val="21"/>
          <w:lang w:val="en-US" w:eastAsia="zh-CN"/>
        </w:rPr>
        <w:t>新点</w:t>
      </w:r>
      <w:r>
        <w:rPr>
          <w:rFonts w:hint="eastAsia" w:cs="宋体" w:asciiTheme="minorEastAsia" w:hAnsiTheme="minorEastAsia"/>
          <w:kern w:val="0"/>
          <w:szCs w:val="21"/>
        </w:rPr>
        <w:t>交易系统作出答复</w:t>
      </w:r>
      <w:r>
        <w:rPr>
          <w:rFonts w:hint="eastAsia" w:cs="宋体" w:asciiTheme="minorEastAsia" w:hAnsiTheme="minorEastAsia"/>
          <w:kern w:val="0"/>
          <w:szCs w:val="21"/>
          <w:lang w:eastAsia="zh-CN"/>
        </w:rPr>
        <w:t>，</w:t>
      </w:r>
      <w:r>
        <w:rPr>
          <w:rFonts w:hint="eastAsia" w:ascii="新宋体" w:hAnsi="新宋体" w:eastAsia="新宋体" w:cs="仿宋_GB2312"/>
          <w:color w:val="auto"/>
          <w:szCs w:val="21"/>
          <w:highlight w:val="none"/>
          <w:lang w:val="zh-CN" w:eastAsia="zh-CN"/>
        </w:rPr>
        <w:t>继续开展采购活动；认为供应商质疑成立且影响或者可能影响中标结果的，</w:t>
      </w:r>
      <w:r>
        <w:rPr>
          <w:rFonts w:hint="eastAsia" w:cs="宋体" w:asciiTheme="minorEastAsia" w:hAnsiTheme="minorEastAsia"/>
          <w:kern w:val="0"/>
          <w:szCs w:val="21"/>
        </w:rPr>
        <w:t>在收到质疑函7个工作日内通过</w:t>
      </w:r>
      <w:r>
        <w:rPr>
          <w:rFonts w:hint="eastAsia" w:cs="宋体" w:asciiTheme="minorEastAsia" w:hAnsiTheme="minorEastAsia"/>
          <w:kern w:val="0"/>
          <w:szCs w:val="21"/>
          <w:lang w:val="en-US" w:eastAsia="zh-CN"/>
        </w:rPr>
        <w:t>新点</w:t>
      </w:r>
      <w:r>
        <w:rPr>
          <w:rFonts w:hint="eastAsia" w:cs="宋体" w:asciiTheme="minorEastAsia" w:hAnsiTheme="minorEastAsia"/>
          <w:kern w:val="0"/>
          <w:szCs w:val="21"/>
        </w:rPr>
        <w:t>交易系统作出答复</w:t>
      </w:r>
      <w:r>
        <w:rPr>
          <w:rFonts w:hint="eastAsia" w:cs="宋体" w:asciiTheme="minorEastAsia" w:hAnsiTheme="minorEastAsia"/>
          <w:kern w:val="0"/>
          <w:szCs w:val="21"/>
          <w:lang w:eastAsia="zh-CN"/>
        </w:rPr>
        <w:t>，</w:t>
      </w:r>
      <w:r>
        <w:rPr>
          <w:rFonts w:hint="eastAsia" w:cs="宋体" w:asciiTheme="minorEastAsia" w:hAnsiTheme="minorEastAsia"/>
          <w:kern w:val="0"/>
          <w:szCs w:val="21"/>
          <w:lang w:val="en-US" w:eastAsia="zh-CN"/>
        </w:rPr>
        <w:t>并</w:t>
      </w:r>
      <w:r>
        <w:rPr>
          <w:rFonts w:hint="eastAsia" w:ascii="新宋体" w:hAnsi="新宋体" w:eastAsia="新宋体" w:cs="仿宋_GB2312"/>
          <w:color w:val="auto"/>
          <w:szCs w:val="21"/>
          <w:highlight w:val="none"/>
          <w:lang w:val="zh-CN" w:eastAsia="zh-CN"/>
        </w:rPr>
        <w:t>按照下列情况处理</w:t>
      </w:r>
      <w:r>
        <w:rPr>
          <w:rFonts w:ascii="宋体" w:hAnsi="宋体"/>
          <w:color w:val="auto"/>
          <w:kern w:val="0"/>
          <w:szCs w:val="21"/>
          <w:highlight w:val="none"/>
        </w:rPr>
        <w:t>：</w:t>
      </w:r>
    </w:p>
    <w:p w14:paraId="46CDD568">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 xml:space="preserve">（1） </w:t>
      </w:r>
      <w:r>
        <w:rPr>
          <w:rFonts w:ascii="宋体" w:hAnsi="宋体"/>
          <w:color w:val="auto"/>
          <w:kern w:val="0"/>
          <w:szCs w:val="21"/>
          <w:highlight w:val="none"/>
        </w:rPr>
        <w:t>对采购文件提出的质疑，依法通过澄清或者修改可以继续开展采购活动的，澄清或者修改采购文件后继续开展采购活动；否则应当修改采购文件后重新开展采购活动。</w:t>
      </w:r>
    </w:p>
    <w:p w14:paraId="70BF1679">
      <w:pPr>
        <w:autoSpaceDE w:val="0"/>
        <w:autoSpaceDN w:val="0"/>
        <w:spacing w:line="360" w:lineRule="auto"/>
        <w:ind w:left="964"/>
        <w:contextualSpacing/>
        <w:rPr>
          <w:rFonts w:ascii="宋体" w:hAnsi="宋体"/>
          <w:color w:val="auto"/>
          <w:kern w:val="0"/>
          <w:szCs w:val="21"/>
          <w:highlight w:val="none"/>
        </w:rPr>
      </w:pPr>
      <w:r>
        <w:rPr>
          <w:rFonts w:hint="eastAsia" w:ascii="宋体" w:hAnsi="宋体"/>
          <w:color w:val="auto"/>
          <w:kern w:val="0"/>
          <w:szCs w:val="21"/>
          <w:highlight w:val="none"/>
        </w:rPr>
        <w:t xml:space="preserve">（2） </w:t>
      </w:r>
      <w:r>
        <w:rPr>
          <w:rFonts w:ascii="宋体" w:hAnsi="宋体"/>
          <w:color w:val="auto"/>
          <w:kern w:val="0"/>
          <w:szCs w:val="21"/>
          <w:highlight w:val="none"/>
        </w:rPr>
        <w:t>对采购过程、</w:t>
      </w:r>
      <w:r>
        <w:rPr>
          <w:rFonts w:hint="eastAsia" w:ascii="宋体" w:hAnsi="宋体"/>
          <w:color w:val="auto"/>
          <w:kern w:val="0"/>
          <w:szCs w:val="21"/>
          <w:highlight w:val="none"/>
        </w:rPr>
        <w:t>成交</w:t>
      </w:r>
      <w:r>
        <w:rPr>
          <w:rFonts w:ascii="宋体" w:hAnsi="宋体"/>
          <w:color w:val="auto"/>
          <w:kern w:val="0"/>
          <w:szCs w:val="21"/>
          <w:highlight w:val="none"/>
        </w:rPr>
        <w:t>结果提出的质疑，合格供应商符合法定数量时，可以从合格的</w:t>
      </w:r>
      <w:r>
        <w:rPr>
          <w:rFonts w:hint="eastAsia" w:ascii="宋体" w:hAnsi="宋体"/>
          <w:color w:val="auto"/>
          <w:kern w:val="0"/>
          <w:szCs w:val="21"/>
          <w:highlight w:val="none"/>
        </w:rPr>
        <w:t>成交候选人</w:t>
      </w:r>
      <w:r>
        <w:rPr>
          <w:rFonts w:ascii="宋体" w:hAnsi="宋体"/>
          <w:color w:val="auto"/>
          <w:kern w:val="0"/>
          <w:szCs w:val="21"/>
          <w:highlight w:val="none"/>
        </w:rPr>
        <w:t>中另行确定</w:t>
      </w:r>
      <w:r>
        <w:rPr>
          <w:rFonts w:hint="eastAsia" w:ascii="宋体" w:hAnsi="宋体"/>
          <w:color w:val="auto"/>
          <w:kern w:val="0"/>
          <w:szCs w:val="21"/>
          <w:highlight w:val="none"/>
        </w:rPr>
        <w:t>成交</w:t>
      </w:r>
      <w:r>
        <w:rPr>
          <w:rFonts w:ascii="宋体" w:hAnsi="宋体"/>
          <w:color w:val="auto"/>
          <w:kern w:val="0"/>
          <w:szCs w:val="21"/>
          <w:highlight w:val="none"/>
        </w:rPr>
        <w:t>供应商的，应当依法另行确定</w:t>
      </w:r>
      <w:r>
        <w:rPr>
          <w:rFonts w:hint="eastAsia" w:ascii="宋体" w:hAnsi="宋体"/>
          <w:color w:val="auto"/>
          <w:kern w:val="0"/>
          <w:szCs w:val="21"/>
          <w:highlight w:val="none"/>
        </w:rPr>
        <w:t>成交</w:t>
      </w:r>
      <w:r>
        <w:rPr>
          <w:rFonts w:ascii="宋体" w:hAnsi="宋体"/>
          <w:color w:val="auto"/>
          <w:kern w:val="0"/>
          <w:szCs w:val="21"/>
          <w:highlight w:val="none"/>
        </w:rPr>
        <w:t>供应商；否则应当重新开展采购活动。</w:t>
      </w:r>
    </w:p>
    <w:p w14:paraId="6DE06F69">
      <w:pPr>
        <w:autoSpaceDE w:val="0"/>
        <w:autoSpaceDN w:val="0"/>
        <w:spacing w:line="360" w:lineRule="auto"/>
        <w:ind w:left="964"/>
        <w:contextualSpacing/>
        <w:rPr>
          <w:rFonts w:ascii="宋体" w:hAnsi="宋体"/>
          <w:color w:val="auto"/>
          <w:kern w:val="0"/>
          <w:szCs w:val="21"/>
          <w:highlight w:val="none"/>
        </w:rPr>
      </w:pPr>
    </w:p>
    <w:p w14:paraId="0037E158">
      <w:pPr>
        <w:pStyle w:val="43"/>
        <w:numPr>
          <w:ilvl w:val="0"/>
          <w:numId w:val="43"/>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签订合同</w:t>
      </w:r>
    </w:p>
    <w:p w14:paraId="64C7B2C6">
      <w:pPr>
        <w:autoSpaceDE w:val="0"/>
        <w:autoSpaceDN w:val="0"/>
        <w:spacing w:line="360" w:lineRule="auto"/>
        <w:ind w:left="964"/>
        <w:contextualSpacing/>
        <w:rPr>
          <w:rFonts w:ascii="宋体" w:hAnsi="宋体"/>
          <w:color w:val="auto"/>
          <w:kern w:val="0"/>
          <w:szCs w:val="21"/>
          <w:highlight w:val="none"/>
        </w:rPr>
      </w:pPr>
      <w:r>
        <w:rPr>
          <w:rFonts w:ascii="Arial" w:hAnsi="Arial" w:cs="Arial"/>
          <w:color w:val="auto"/>
          <w:szCs w:val="21"/>
          <w:highlight w:val="none"/>
          <w:shd w:val="clear" w:color="auto" w:fill="FFFFFF"/>
        </w:rPr>
        <w:t>采购人与成交供应商应当在成交通知书发出之日起30日内，按照磋商文件确定的合同文本以及采购标的、规格型号、采购金额、采购数量、技术和服务要求等事项签订政府采购合同。</w:t>
      </w:r>
    </w:p>
    <w:p w14:paraId="04A226B2">
      <w:pPr>
        <w:autoSpaceDE w:val="0"/>
        <w:autoSpaceDN w:val="0"/>
        <w:spacing w:line="360" w:lineRule="auto"/>
        <w:ind w:left="964"/>
        <w:contextualSpacing/>
        <w:rPr>
          <w:rFonts w:ascii="宋体" w:hAnsi="宋体"/>
          <w:color w:val="auto"/>
          <w:kern w:val="0"/>
          <w:szCs w:val="21"/>
          <w:highlight w:val="none"/>
        </w:rPr>
      </w:pPr>
    </w:p>
    <w:p w14:paraId="0538A247">
      <w:pPr>
        <w:pStyle w:val="43"/>
        <w:numPr>
          <w:ilvl w:val="0"/>
          <w:numId w:val="43"/>
        </w:numPr>
        <w:autoSpaceDE w:val="0"/>
        <w:autoSpaceDN w:val="0"/>
        <w:spacing w:line="360" w:lineRule="auto"/>
        <w:ind w:firstLineChars="0"/>
        <w:contextualSpacing/>
        <w:rPr>
          <w:rFonts w:ascii="宋体" w:hAnsi="宋体"/>
          <w:b/>
          <w:color w:val="auto"/>
          <w:kern w:val="0"/>
          <w:szCs w:val="21"/>
          <w:highlight w:val="none"/>
        </w:rPr>
      </w:pPr>
      <w:r>
        <w:rPr>
          <w:rFonts w:hint="eastAsia" w:ascii="宋体" w:hAnsi="宋体"/>
          <w:b/>
          <w:color w:val="auto"/>
          <w:kern w:val="0"/>
          <w:szCs w:val="21"/>
          <w:highlight w:val="none"/>
        </w:rPr>
        <w:t>履约保证金</w:t>
      </w:r>
    </w:p>
    <w:p w14:paraId="13C4426D">
      <w:pPr>
        <w:tabs>
          <w:tab w:val="left" w:pos="1260"/>
        </w:tabs>
        <w:autoSpaceDE w:val="0"/>
        <w:autoSpaceDN w:val="0"/>
        <w:adjustRightInd w:val="0"/>
        <w:spacing w:line="360" w:lineRule="auto"/>
        <w:ind w:left="1050" w:leftChars="400" w:hanging="210" w:hangingChars="100"/>
        <w:contextualSpacing/>
        <w:jc w:val="left"/>
        <w:rPr>
          <w:rFonts w:ascii="宋体" w:hAnsi="宋体"/>
          <w:color w:val="auto"/>
          <w:kern w:val="0"/>
          <w:szCs w:val="21"/>
          <w:highlight w:val="none"/>
        </w:rPr>
      </w:pPr>
      <w:r>
        <w:rPr>
          <w:rFonts w:hint="eastAsia" w:ascii="宋体" w:hAnsi="宋体"/>
          <w:color w:val="auto"/>
          <w:kern w:val="0"/>
          <w:szCs w:val="21"/>
          <w:highlight w:val="none"/>
        </w:rPr>
        <w:t>“供应商须知前附表”中规定成交供应商提交履约保证金的，成交供应商应当以支票、汇票、本票或者金融机构、担保机构出具的保函等非现金形式向采购人提交。履约保证金的数额不得超过政府采购合同金额的10%。</w:t>
      </w:r>
    </w:p>
    <w:p w14:paraId="6918B509">
      <w:pPr>
        <w:tabs>
          <w:tab w:val="left" w:pos="1260"/>
        </w:tabs>
        <w:autoSpaceDE w:val="0"/>
        <w:autoSpaceDN w:val="0"/>
        <w:adjustRightInd w:val="0"/>
        <w:spacing w:line="360" w:lineRule="auto"/>
        <w:contextualSpacing/>
        <w:jc w:val="center"/>
        <w:rPr>
          <w:rFonts w:ascii="宋体" w:hAnsi="宋体"/>
          <w:b/>
          <w:color w:val="auto"/>
          <w:kern w:val="0"/>
          <w:sz w:val="36"/>
          <w:szCs w:val="36"/>
          <w:highlight w:val="none"/>
        </w:rPr>
      </w:pPr>
    </w:p>
    <w:p w14:paraId="3BDF73C1">
      <w:pPr>
        <w:tabs>
          <w:tab w:val="left" w:pos="1260"/>
        </w:tabs>
        <w:autoSpaceDE w:val="0"/>
        <w:autoSpaceDN w:val="0"/>
        <w:adjustRightInd w:val="0"/>
        <w:spacing w:line="360" w:lineRule="auto"/>
        <w:contextualSpacing/>
        <w:jc w:val="center"/>
        <w:rPr>
          <w:rFonts w:ascii="宋体" w:hAnsi="宋体"/>
          <w:b/>
          <w:color w:val="auto"/>
          <w:kern w:val="0"/>
          <w:sz w:val="36"/>
          <w:szCs w:val="36"/>
          <w:highlight w:val="none"/>
        </w:rPr>
      </w:pPr>
    </w:p>
    <w:p w14:paraId="5D1D65D2">
      <w:pPr>
        <w:tabs>
          <w:tab w:val="left" w:pos="1260"/>
        </w:tabs>
        <w:autoSpaceDE w:val="0"/>
        <w:autoSpaceDN w:val="0"/>
        <w:adjustRightInd w:val="0"/>
        <w:spacing w:line="360" w:lineRule="auto"/>
        <w:contextualSpacing/>
        <w:jc w:val="center"/>
        <w:rPr>
          <w:rFonts w:hint="eastAsia" w:ascii="宋体" w:hAnsi="宋体"/>
          <w:b/>
          <w:color w:val="auto"/>
          <w:kern w:val="0"/>
          <w:sz w:val="36"/>
          <w:szCs w:val="36"/>
          <w:highlight w:val="none"/>
        </w:rPr>
      </w:pPr>
    </w:p>
    <w:p w14:paraId="3BAA28D9">
      <w:pPr>
        <w:tabs>
          <w:tab w:val="left" w:pos="1260"/>
        </w:tabs>
        <w:autoSpaceDE w:val="0"/>
        <w:autoSpaceDN w:val="0"/>
        <w:adjustRightInd w:val="0"/>
        <w:spacing w:line="360" w:lineRule="auto"/>
        <w:contextualSpacing/>
        <w:jc w:val="center"/>
        <w:rPr>
          <w:rFonts w:hint="eastAsia" w:ascii="宋体" w:hAnsi="宋体"/>
          <w:b/>
          <w:color w:val="auto"/>
          <w:kern w:val="0"/>
          <w:sz w:val="36"/>
          <w:szCs w:val="36"/>
          <w:highlight w:val="none"/>
        </w:rPr>
      </w:pPr>
    </w:p>
    <w:p w14:paraId="288F88BD">
      <w:pPr>
        <w:tabs>
          <w:tab w:val="left" w:pos="1260"/>
        </w:tabs>
        <w:autoSpaceDE w:val="0"/>
        <w:autoSpaceDN w:val="0"/>
        <w:adjustRightInd w:val="0"/>
        <w:spacing w:line="360" w:lineRule="auto"/>
        <w:contextualSpacing/>
        <w:jc w:val="center"/>
        <w:rPr>
          <w:rFonts w:hint="eastAsia" w:ascii="宋体" w:hAnsi="宋体"/>
          <w:b/>
          <w:color w:val="auto"/>
          <w:kern w:val="0"/>
          <w:sz w:val="36"/>
          <w:szCs w:val="36"/>
          <w:highlight w:val="none"/>
        </w:rPr>
      </w:pPr>
    </w:p>
    <w:p w14:paraId="1E23A4C7">
      <w:pPr>
        <w:tabs>
          <w:tab w:val="left" w:pos="1260"/>
        </w:tabs>
        <w:autoSpaceDE w:val="0"/>
        <w:autoSpaceDN w:val="0"/>
        <w:adjustRightInd w:val="0"/>
        <w:spacing w:line="360" w:lineRule="auto"/>
        <w:contextualSpacing/>
        <w:jc w:val="center"/>
        <w:rPr>
          <w:rFonts w:ascii="宋体"/>
          <w:b/>
          <w:color w:val="auto"/>
          <w:kern w:val="0"/>
          <w:sz w:val="36"/>
          <w:szCs w:val="36"/>
          <w:highlight w:val="none"/>
        </w:rPr>
      </w:pPr>
      <w:r>
        <w:rPr>
          <w:rFonts w:hint="eastAsia" w:ascii="宋体" w:hAnsi="宋体"/>
          <w:b/>
          <w:color w:val="auto"/>
          <w:kern w:val="0"/>
          <w:sz w:val="36"/>
          <w:szCs w:val="36"/>
          <w:highlight w:val="none"/>
        </w:rPr>
        <w:t>第五章   政府采购政策功能</w:t>
      </w:r>
    </w:p>
    <w:p w14:paraId="3B42CCE8">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根据《中华人民共和国政府采购法》、《中华人民共和国政府采购法实施条例》、《政府采购货物和服务招标投标管理办法》等规定，本项目落实节约能源、保护环境、促进中小企业发展、支持监狱企业发展、促进残疾人就业等政府采购政策。</w:t>
      </w:r>
    </w:p>
    <w:p w14:paraId="657D4244">
      <w:pPr>
        <w:spacing w:line="360" w:lineRule="auto"/>
        <w:ind w:firstLine="422" w:firstLineChars="200"/>
        <w:contextualSpacing/>
        <w:rPr>
          <w:rFonts w:ascii="宋体" w:hAnsi="宋体" w:cs="仿宋_GB2312"/>
          <w:b/>
          <w:color w:val="auto"/>
          <w:szCs w:val="21"/>
          <w:highlight w:val="none"/>
          <w:lang w:val="zh-CN"/>
        </w:rPr>
      </w:pPr>
      <w:r>
        <w:rPr>
          <w:rFonts w:hint="eastAsia" w:ascii="宋体" w:hAnsi="宋体" w:cs="仿宋_GB2312"/>
          <w:b/>
          <w:color w:val="auto"/>
          <w:szCs w:val="21"/>
          <w:highlight w:val="none"/>
          <w:lang w:val="zh-CN"/>
        </w:rPr>
        <w:t>一、节约能源、保护环境</w:t>
      </w:r>
    </w:p>
    <w:p w14:paraId="06530068">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按照《财政部、发展改革委、生态环境部、市场监管总局关于调整优化节能产品、环境标志产品政府采购执行机制的通知》（财库〔2019〕9号）和</w:t>
      </w:r>
      <w:r>
        <w:rPr>
          <w:rFonts w:hint="eastAsia" w:ascii="宋体" w:hAnsi="宋体" w:cs="仿宋_GB2312"/>
          <w:color w:val="auto"/>
          <w:szCs w:val="21"/>
          <w:highlight w:val="none"/>
        </w:rPr>
        <w:t>财政部、生态环境部</w:t>
      </w:r>
      <w:r>
        <w:rPr>
          <w:rFonts w:hint="eastAsia" w:ascii="宋体" w:hAnsi="宋体" w:cs="仿宋_GB2312"/>
          <w:color w:val="auto"/>
          <w:szCs w:val="21"/>
          <w:highlight w:val="none"/>
          <w:lang w:val="zh-CN"/>
        </w:rPr>
        <w:t>《关于印发环境标志产品政府采购品目清单的通知》</w:t>
      </w:r>
      <w:r>
        <w:rPr>
          <w:rFonts w:hint="eastAsia" w:ascii="宋体" w:hAnsi="宋体" w:cs="仿宋_GB2312"/>
          <w:color w:val="auto"/>
          <w:szCs w:val="21"/>
          <w:highlight w:val="none"/>
        </w:rPr>
        <w:t>（财库[2019]18号）以及</w:t>
      </w:r>
      <w:r>
        <w:rPr>
          <w:rFonts w:hint="eastAsia" w:ascii="宋体" w:hAnsi="宋体" w:cs="仿宋_GB2312"/>
          <w:color w:val="auto"/>
          <w:szCs w:val="21"/>
          <w:highlight w:val="none"/>
          <w:lang w:val="zh-CN"/>
        </w:rPr>
        <w:t>财政部、发展改革委</w:t>
      </w:r>
      <w:r>
        <w:rPr>
          <w:rFonts w:hint="eastAsia" w:ascii="宋体" w:hAnsi="宋体" w:cs="仿宋_GB2312"/>
          <w:color w:val="auto"/>
          <w:szCs w:val="21"/>
          <w:highlight w:val="none"/>
        </w:rPr>
        <w:t>《关于印发节能产品政府采购品目清单的通知》（财库[2019]19号）</w:t>
      </w:r>
      <w:r>
        <w:rPr>
          <w:rFonts w:hint="eastAsia" w:ascii="宋体" w:hAnsi="宋体" w:cs="仿宋_GB2312"/>
          <w:color w:val="auto"/>
          <w:szCs w:val="21"/>
          <w:highlight w:val="none"/>
          <w:lang w:val="zh-CN"/>
        </w:rPr>
        <w:t>，</w:t>
      </w:r>
      <w:r>
        <w:rPr>
          <w:rFonts w:hint="eastAsia" w:ascii="宋体" w:hAnsi="宋体" w:cs="仿宋_GB2312"/>
          <w:color w:val="auto"/>
          <w:szCs w:val="21"/>
          <w:highlight w:val="none"/>
        </w:rPr>
        <w:t>采购政府强</w:t>
      </w:r>
      <w:r>
        <w:rPr>
          <w:rFonts w:hint="eastAsia" w:ascii="宋体" w:hAnsi="宋体" w:cs="仿宋_GB2312"/>
          <w:color w:val="auto"/>
          <w:szCs w:val="21"/>
          <w:highlight w:val="none"/>
          <w:lang w:val="zh-CN"/>
        </w:rPr>
        <w:t>制采购产品的，该产品必须具有国家确定的认证机构出具的、处于有效期之内的节能产品认证证书；采购政府优先采购产品的，该产品具有国家确定的认证机构出具的、处于有效期之内的节能产品、环境标志产品认证证书，应当优先采购。</w:t>
      </w:r>
    </w:p>
    <w:p w14:paraId="37AF4118">
      <w:pPr>
        <w:spacing w:line="360" w:lineRule="auto"/>
        <w:ind w:firstLine="422" w:firstLineChars="200"/>
        <w:contextualSpacing/>
        <w:rPr>
          <w:rFonts w:ascii="宋体" w:hAnsi="宋体" w:cs="仿宋_GB2312"/>
          <w:b/>
          <w:color w:val="auto"/>
          <w:szCs w:val="21"/>
          <w:highlight w:val="none"/>
          <w:lang w:val="zh-CN"/>
        </w:rPr>
      </w:pPr>
      <w:r>
        <w:rPr>
          <w:rFonts w:hint="eastAsia" w:ascii="宋体" w:hAnsi="宋体" w:cs="仿宋_GB2312"/>
          <w:b/>
          <w:color w:val="auto"/>
          <w:szCs w:val="21"/>
          <w:highlight w:val="none"/>
          <w:lang w:val="zh-CN"/>
        </w:rPr>
        <w:t>二、促进中小企业发展（不含民办非企业）</w:t>
      </w:r>
    </w:p>
    <w:p w14:paraId="2F84030B">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1、根据财政部、工业和信息化部《政府采购促进中小企业发展管理办法》（财库[2020]46 号）、《关于进一步加大政府采购支持中小企业力度的通知》（财库〔2022〕19 号）规定，对符合该办法规定的小型和微型企业报价给予 10%-20%的扣除，用扣除后的价格参与评审。</w:t>
      </w:r>
    </w:p>
    <w:p w14:paraId="57C1BE19">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2、在货物采购项目中，供应商提供的货物既有中小企业制造货物，也有大型企业制造货物的，不享受《政府采购促进中小企业发展管理办法》（财库[2020]46 号）规定的中小企业扶持政策。</w:t>
      </w:r>
    </w:p>
    <w:p w14:paraId="304F6284">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3、以联合体形式参加政府采购活动，联合体各方均为中小企业的，联合体视同中小企业。其中，联合体各方均为小微企业的，联合体视同小微企业。</w:t>
      </w:r>
    </w:p>
    <w:p w14:paraId="611CB9F8">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4、接受大中型企业与小微企业组成联合体或者允许大中型企业向一家或者多家小微企业分包的采购项目，对于联合协议或者分包意向协议约定小微企业的合同份额占到合同总金额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 4—6%的扣除，用扣除后的价格参加评审。组成联合体或者接受分包的小微企业与联合体内其他企业、分包企业之间存在直接控股、管理关系的，不享受价格扣除优惠政策。</w:t>
      </w:r>
    </w:p>
    <w:p w14:paraId="63186AF8">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5、按照本次采购标的所属行业的划型标准，符合条件的中小企业应按照磋商文件格式要求提供《中小企业声明函》，否则不得享受相关中小企业扶持政策。</w:t>
      </w:r>
    </w:p>
    <w:p w14:paraId="0E241753">
      <w:pPr>
        <w:topLinePunct/>
        <w:spacing w:line="360" w:lineRule="auto"/>
        <w:ind w:firstLine="422" w:firstLineChars="200"/>
        <w:contextualSpacing/>
        <w:rPr>
          <w:rFonts w:ascii="宋体" w:hAnsi="宋体" w:cs="仿宋_GB2312"/>
          <w:b/>
          <w:color w:val="auto"/>
          <w:szCs w:val="21"/>
          <w:highlight w:val="none"/>
          <w:lang w:val="zh-CN"/>
        </w:rPr>
      </w:pPr>
      <w:r>
        <w:rPr>
          <w:rFonts w:hint="eastAsia" w:ascii="宋体" w:hAnsi="宋体" w:cs="仿宋_GB2312"/>
          <w:b/>
          <w:color w:val="auto"/>
          <w:szCs w:val="21"/>
          <w:highlight w:val="none"/>
          <w:lang w:val="zh-CN"/>
        </w:rPr>
        <w:t>三、支持监狱企业发展</w:t>
      </w:r>
    </w:p>
    <w:p w14:paraId="128173A0">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按照财政部、司法部发布的《关于政府采购支持监狱企业发展有关问题的通知》（</w:t>
      </w:r>
      <w:bookmarkStart w:id="14" w:name="OLE_LINK6"/>
      <w:r>
        <w:rPr>
          <w:rFonts w:hint="eastAsia" w:ascii="宋体" w:hAnsi="宋体" w:cs="仿宋_GB2312"/>
          <w:color w:val="auto"/>
          <w:szCs w:val="21"/>
          <w:highlight w:val="none"/>
          <w:lang w:val="zh-CN"/>
        </w:rPr>
        <w:t>财库[2014]68号</w:t>
      </w:r>
      <w:bookmarkEnd w:id="14"/>
      <w:r>
        <w:rPr>
          <w:rFonts w:hint="eastAsia" w:ascii="宋体" w:hAnsi="宋体" w:cs="仿宋_GB2312"/>
          <w:color w:val="auto"/>
          <w:szCs w:val="21"/>
          <w:highlight w:val="none"/>
          <w:lang w:val="zh-CN"/>
        </w:rPr>
        <w:t>）规定，在政府采购活动中，监狱企业视同小型、微型企业，享受评审中价格扣除的政府采购政策，用扣除后的价格参与评审。监狱企业应当提供由省级以上监狱管理局、戒毒管理局(含新疆生产建设兵团)出具的属于监狱企业的证明文件。</w:t>
      </w:r>
    </w:p>
    <w:p w14:paraId="00D4C79D">
      <w:pPr>
        <w:spacing w:line="360" w:lineRule="auto"/>
        <w:ind w:firstLine="422" w:firstLineChars="200"/>
        <w:contextualSpacing/>
        <w:rPr>
          <w:rFonts w:ascii="宋体" w:hAnsi="宋体" w:cs="仿宋_GB2312"/>
          <w:b/>
          <w:color w:val="auto"/>
          <w:szCs w:val="21"/>
          <w:highlight w:val="none"/>
          <w:lang w:val="zh-CN"/>
        </w:rPr>
      </w:pPr>
      <w:r>
        <w:rPr>
          <w:rFonts w:hint="eastAsia" w:ascii="宋体" w:hAnsi="宋体" w:cs="仿宋_GB2312"/>
          <w:b/>
          <w:color w:val="auto"/>
          <w:szCs w:val="21"/>
          <w:highlight w:val="none"/>
          <w:lang w:val="zh-CN"/>
        </w:rPr>
        <w:t>四、促进残疾人就业</w:t>
      </w:r>
    </w:p>
    <w:p w14:paraId="6F4ACE3E">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1、按照财政部、民政部、中国残疾人联合会和残疾人发布的《三部门联合发布关于促进残疾人就业政府采购政策的通知》（财库[2017]141号）规定，在政府采购活动中，残疾人福利性单位视同小型、微型企业，享受评审中价格扣除的政府采购政策。对残疾人福利性单位提供本单位制造的货物、承担的工程或者服务，或者提供其他残疾人福利性单位制造的货物（不包括使用非残疾人福利性单位注册商标的货物）用扣除后的价格参与评审。</w:t>
      </w:r>
      <w:r>
        <w:rPr>
          <w:rFonts w:hint="eastAsia" w:ascii="宋体" w:hAnsi="宋体"/>
          <w:color w:val="auto"/>
          <w:szCs w:val="21"/>
          <w:highlight w:val="none"/>
        </w:rPr>
        <w:t>残疾人福利性单位属于小型、微型企业的，不重复享受政策。</w:t>
      </w:r>
    </w:p>
    <w:p w14:paraId="6F8D33D4">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2、符合条件的残疾人福利性单位在参加政府采购活动时，应当提供《三部门联合发布关于促进残疾人就业政府采购政策的通知》规定的《残疾人福利性单位声明函》，并对声明的真实性负责。任何单位或者个人在政府采购活动中均不得要求残疾人福利性单位提供其他证明声明函内容的材料。</w:t>
      </w:r>
    </w:p>
    <w:p w14:paraId="6E2ECE18">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3、中标人为残疾人福利性单位的，招标人应当随中标结果同时公告其《残疾人福利性单位声明函》，接受社会监督。</w:t>
      </w:r>
    </w:p>
    <w:p w14:paraId="70451B0A">
      <w:pPr>
        <w:spacing w:line="360" w:lineRule="auto"/>
        <w:rPr>
          <w:rFonts w:ascii="宋体" w:hAnsi="宋体"/>
          <w:b/>
          <w:color w:val="auto"/>
          <w:kern w:val="0"/>
          <w:sz w:val="36"/>
          <w:szCs w:val="36"/>
          <w:highlight w:val="none"/>
        </w:rPr>
      </w:pPr>
    </w:p>
    <w:p w14:paraId="4D0001CA">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6F049259">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59E0A04B">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016ABB72">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33840935">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0D2F18CF">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42C5EAD6">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356B8C81">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3D807DCC">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p>
    <w:p w14:paraId="2AF20C7B">
      <w:pPr>
        <w:tabs>
          <w:tab w:val="left" w:pos="1260"/>
        </w:tabs>
        <w:autoSpaceDE w:val="0"/>
        <w:autoSpaceDN w:val="0"/>
        <w:adjustRightInd w:val="0"/>
        <w:spacing w:line="360" w:lineRule="auto"/>
        <w:ind w:firstLine="643" w:firstLineChars="200"/>
        <w:contextualSpacing/>
        <w:jc w:val="center"/>
        <w:rPr>
          <w:rFonts w:ascii="宋体" w:hAnsi="宋体"/>
          <w:b/>
          <w:color w:val="auto"/>
          <w:kern w:val="0"/>
          <w:sz w:val="32"/>
          <w:szCs w:val="32"/>
          <w:highlight w:val="none"/>
        </w:rPr>
      </w:pPr>
      <w:r>
        <w:rPr>
          <w:rFonts w:hint="eastAsia" w:ascii="宋体" w:hAnsi="宋体"/>
          <w:b/>
          <w:color w:val="auto"/>
          <w:kern w:val="0"/>
          <w:sz w:val="32"/>
          <w:szCs w:val="32"/>
          <w:highlight w:val="none"/>
        </w:rPr>
        <w:t>第六章 评审程序和评审标准</w:t>
      </w:r>
    </w:p>
    <w:p w14:paraId="05AAEAD4">
      <w:pPr>
        <w:pStyle w:val="17"/>
        <w:spacing w:line="360" w:lineRule="auto"/>
        <w:contextualSpacing/>
        <w:rPr>
          <w:rFonts w:ascii="宋体" w:hAnsi="宋体" w:cs="仿宋_GB2312"/>
          <w:color w:val="auto"/>
          <w:highlight w:val="none"/>
          <w:lang w:val="zh-CN"/>
        </w:rPr>
      </w:pPr>
    </w:p>
    <w:p w14:paraId="204F64FF">
      <w:pPr>
        <w:pStyle w:val="17"/>
        <w:spacing w:line="360" w:lineRule="auto"/>
        <w:contextualSpacing/>
        <w:rPr>
          <w:rFonts w:ascii="宋体" w:hAnsi="宋体" w:cs="仿宋_GB2312"/>
          <w:b/>
          <w:color w:val="auto"/>
          <w:sz w:val="21"/>
          <w:szCs w:val="21"/>
          <w:highlight w:val="none"/>
          <w:lang w:val="zh-CN"/>
        </w:rPr>
      </w:pPr>
      <w:r>
        <w:rPr>
          <w:rFonts w:ascii="宋体" w:hAnsi="宋体" w:cs="仿宋_GB2312"/>
          <w:b/>
          <w:color w:val="auto"/>
          <w:sz w:val="21"/>
          <w:szCs w:val="21"/>
          <w:highlight w:val="none"/>
          <w:lang w:val="zh-CN"/>
        </w:rPr>
        <w:t>一、</w:t>
      </w:r>
      <w:r>
        <w:rPr>
          <w:rFonts w:hint="eastAsia" w:ascii="宋体" w:hAnsi="宋体" w:cs="仿宋_GB2312"/>
          <w:b/>
          <w:color w:val="auto"/>
          <w:sz w:val="21"/>
          <w:szCs w:val="21"/>
          <w:highlight w:val="none"/>
          <w:lang w:val="zh-CN"/>
        </w:rPr>
        <w:t>初审</w:t>
      </w:r>
    </w:p>
    <w:p w14:paraId="0939CC26">
      <w:pPr>
        <w:pStyle w:val="17"/>
        <w:spacing w:line="360" w:lineRule="auto"/>
        <w:ind w:firstLine="422" w:firstLineChars="200"/>
        <w:contextualSpacing/>
        <w:rPr>
          <w:rFonts w:ascii="宋体" w:hAnsi="宋体"/>
          <w:bCs/>
          <w:color w:val="auto"/>
          <w:sz w:val="21"/>
          <w:szCs w:val="21"/>
          <w:highlight w:val="none"/>
        </w:rPr>
      </w:pPr>
      <w:r>
        <w:rPr>
          <w:rFonts w:hint="eastAsia" w:ascii="宋体" w:hAnsi="宋体" w:cs="仿宋_GB2312"/>
          <w:b/>
          <w:color w:val="auto"/>
          <w:sz w:val="21"/>
          <w:szCs w:val="21"/>
          <w:highlight w:val="none"/>
          <w:lang w:val="zh-CN"/>
        </w:rPr>
        <w:t>（一）资格性检查</w:t>
      </w:r>
    </w:p>
    <w:p w14:paraId="0F72F68C">
      <w:pPr>
        <w:spacing w:line="360" w:lineRule="auto"/>
        <w:ind w:right="420" w:rightChars="200" w:firstLine="420" w:firstLineChars="200"/>
        <w:contextualSpacing/>
        <w:rPr>
          <w:rFonts w:ascii="宋体" w:hAnsi="宋体" w:cs="仿宋_GB2312"/>
          <w:color w:val="auto"/>
          <w:szCs w:val="21"/>
          <w:highlight w:val="none"/>
          <w:lang w:val="zh-CN"/>
        </w:rPr>
      </w:pPr>
      <w:r>
        <w:rPr>
          <w:rFonts w:hint="eastAsia" w:ascii="宋体" w:hAnsi="宋体"/>
          <w:bCs/>
          <w:color w:val="auto"/>
          <w:szCs w:val="21"/>
          <w:highlight w:val="none"/>
        </w:rPr>
        <w:t>磋商小组依法对供应商资格进行检查</w:t>
      </w:r>
      <w:r>
        <w:rPr>
          <w:rFonts w:ascii="宋体" w:hAnsi="宋体"/>
          <w:bCs/>
          <w:color w:val="auto"/>
          <w:szCs w:val="21"/>
          <w:highlight w:val="none"/>
        </w:rPr>
        <w:t>。</w:t>
      </w:r>
      <w:r>
        <w:rPr>
          <w:rFonts w:hint="eastAsia" w:ascii="宋体" w:hAnsi="宋体" w:cs="仿宋_GB2312"/>
          <w:color w:val="auto"/>
          <w:szCs w:val="21"/>
          <w:highlight w:val="none"/>
          <w:lang w:val="zh-CN"/>
        </w:rPr>
        <w:t>确定符合资格的供应商不少于3家后对响应文件进行符合性审查。</w:t>
      </w:r>
      <w:r>
        <w:rPr>
          <w:rFonts w:hint="eastAsia" w:ascii="宋体" w:hAnsi="宋体"/>
          <w:bCs/>
          <w:color w:val="auto"/>
          <w:szCs w:val="21"/>
          <w:highlight w:val="none"/>
        </w:rPr>
        <w:t>（如磋商中出现符合《财政部关于政府采购竞争性磋商采购方式管理暂行办法有关问题的补充通知》（财库〔2015〕124号）中的情形，则按财政部通知要求执行）</w:t>
      </w:r>
    </w:p>
    <w:p w14:paraId="5E0D1272">
      <w:pPr>
        <w:spacing w:line="360" w:lineRule="auto"/>
        <w:ind w:right="420" w:rightChars="200" w:firstLine="482" w:firstLineChars="200"/>
        <w:contextualSpacing/>
        <w:rPr>
          <w:rFonts w:ascii="楷体" w:hAnsi="楷体" w:eastAsia="楷体" w:cs="仿宋_GB2312"/>
          <w:color w:val="auto"/>
          <w:sz w:val="24"/>
          <w:szCs w:val="24"/>
          <w:highlight w:val="none"/>
          <w:lang w:val="zh-CN"/>
        </w:rPr>
      </w:pPr>
      <w:r>
        <w:rPr>
          <w:rFonts w:hint="eastAsia" w:ascii="楷体" w:hAnsi="楷体" w:eastAsia="楷体" w:cs="仿宋_GB2312"/>
          <w:b/>
          <w:color w:val="auto"/>
          <w:sz w:val="24"/>
          <w:szCs w:val="24"/>
          <w:highlight w:val="none"/>
          <w:lang w:val="zh-CN"/>
        </w:rPr>
        <w:t>注：</w:t>
      </w:r>
      <w:r>
        <w:rPr>
          <w:rFonts w:hint="eastAsia" w:ascii="楷体" w:hAnsi="楷体" w:eastAsia="楷体" w:cs="仿宋_GB2312"/>
          <w:color w:val="auto"/>
          <w:sz w:val="24"/>
          <w:szCs w:val="24"/>
          <w:highlight w:val="none"/>
          <w:lang w:val="zh-CN"/>
        </w:rPr>
        <w:t>（1）资格证明材料（本栏所列内容为本项目的资格审查条件，如有一项不符合要求，则不能进入下一步评审）。</w:t>
      </w:r>
    </w:p>
    <w:p w14:paraId="5D4CAEC3">
      <w:pPr>
        <w:numPr>
          <w:ilvl w:val="0"/>
          <w:numId w:val="44"/>
        </w:numPr>
        <w:spacing w:line="360" w:lineRule="auto"/>
        <w:ind w:right="420" w:rightChars="200" w:firstLine="480" w:firstLineChars="200"/>
        <w:contextualSpacing/>
        <w:rPr>
          <w:rFonts w:hint="eastAsia" w:ascii="楷体" w:hAnsi="楷体" w:eastAsia="楷体" w:cs="仿宋_GB2312"/>
          <w:color w:val="auto"/>
          <w:sz w:val="24"/>
          <w:szCs w:val="24"/>
          <w:highlight w:val="none"/>
          <w:lang w:val="zh-CN"/>
        </w:rPr>
      </w:pPr>
      <w:r>
        <w:rPr>
          <w:rFonts w:hint="eastAsia" w:ascii="楷体" w:hAnsi="楷体" w:eastAsia="楷体" w:cs="仿宋_GB2312"/>
          <w:color w:val="auto"/>
          <w:sz w:val="24"/>
          <w:szCs w:val="24"/>
          <w:highlight w:val="none"/>
          <w:lang w:val="zh-CN"/>
        </w:rPr>
        <w:t>资格审查中所涉及到的证书及材料，均须在电子响应文件中提供原件扫描件（或图片）。</w:t>
      </w:r>
    </w:p>
    <w:tbl>
      <w:tblPr>
        <w:tblStyle w:val="31"/>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410"/>
        <w:gridCol w:w="5954"/>
      </w:tblGrid>
      <w:tr w14:paraId="1929E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75" w:type="dxa"/>
            <w:noWrap/>
            <w:vAlign w:val="center"/>
          </w:tcPr>
          <w:p w14:paraId="47C9F71B">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2410" w:type="dxa"/>
            <w:noWrap/>
            <w:vAlign w:val="center"/>
          </w:tcPr>
          <w:p w14:paraId="4834DA59">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资格审查</w:t>
            </w:r>
            <w:r>
              <w:rPr>
                <w:rFonts w:ascii="宋体" w:hAnsi="宋体"/>
                <w:b/>
                <w:color w:val="000000" w:themeColor="text1"/>
                <w:szCs w:val="21"/>
                <w14:textFill>
                  <w14:solidFill>
                    <w14:schemeClr w14:val="tx1"/>
                  </w14:solidFill>
                </w14:textFill>
              </w:rPr>
              <w:t>因素</w:t>
            </w:r>
          </w:p>
        </w:tc>
        <w:tc>
          <w:tcPr>
            <w:tcW w:w="5954" w:type="dxa"/>
            <w:noWrap/>
            <w:vAlign w:val="center"/>
          </w:tcPr>
          <w:p w14:paraId="37014D8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说明与要求</w:t>
            </w:r>
          </w:p>
        </w:tc>
      </w:tr>
      <w:tr w14:paraId="3D72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75" w:type="dxa"/>
            <w:noWrap/>
            <w:vAlign w:val="center"/>
          </w:tcPr>
          <w:p w14:paraId="10E8D8F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1</w:t>
            </w:r>
          </w:p>
        </w:tc>
        <w:tc>
          <w:tcPr>
            <w:tcW w:w="2410" w:type="dxa"/>
            <w:noWrap/>
            <w:vAlign w:val="center"/>
          </w:tcPr>
          <w:p w14:paraId="6EE4720C">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snapToGrid w:val="0"/>
                <w:color w:val="auto"/>
                <w:kern w:val="0"/>
                <w:szCs w:val="24"/>
                <w:highlight w:val="none"/>
              </w:rPr>
              <w:t>磋商响应函</w:t>
            </w:r>
          </w:p>
        </w:tc>
        <w:tc>
          <w:tcPr>
            <w:tcW w:w="5954" w:type="dxa"/>
            <w:noWrap/>
            <w:vAlign w:val="center"/>
          </w:tcPr>
          <w:p w14:paraId="3A4395DB">
            <w:pPr>
              <w:spacing w:line="380" w:lineRule="exact"/>
              <w:rPr>
                <w:rFonts w:ascii="宋体" w:hAnsi="宋体"/>
                <w:b/>
                <w:color w:val="000000" w:themeColor="text1"/>
                <w:szCs w:val="21"/>
                <w14:textFill>
                  <w14:solidFill>
                    <w14:schemeClr w14:val="tx1"/>
                  </w14:solidFill>
                </w14:textFill>
              </w:rPr>
            </w:pPr>
            <w:r>
              <w:rPr>
                <w:rFonts w:hint="eastAsia" w:ascii="宋体" w:hAnsi="宋体" w:cs="微软雅黑"/>
                <w:bCs/>
                <w:color w:val="000000" w:themeColor="text1"/>
                <w:szCs w:val="21"/>
                <w14:textFill>
                  <w14:solidFill>
                    <w14:schemeClr w14:val="tx1"/>
                  </w14:solidFill>
                </w14:textFill>
              </w:rPr>
              <w:t>参考招标文件第八章3.1格式填写</w:t>
            </w:r>
          </w:p>
        </w:tc>
      </w:tr>
      <w:tr w14:paraId="05992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75" w:type="dxa"/>
            <w:noWrap/>
            <w:vAlign w:val="center"/>
          </w:tcPr>
          <w:p w14:paraId="5AAAC396">
            <w:pPr>
              <w:spacing w:line="38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2</w:t>
            </w:r>
          </w:p>
        </w:tc>
        <w:tc>
          <w:tcPr>
            <w:tcW w:w="2410" w:type="dxa"/>
            <w:noWrap/>
            <w:vAlign w:val="center"/>
          </w:tcPr>
          <w:p w14:paraId="07B8EC22">
            <w:pPr>
              <w:jc w:val="center"/>
              <w:rPr>
                <w:rFonts w:ascii="宋体" w:hAnsi="宋体"/>
                <w:b/>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许昌市政府采购供应 商信用承诺函</w:t>
            </w:r>
          </w:p>
        </w:tc>
        <w:tc>
          <w:tcPr>
            <w:tcW w:w="5954" w:type="dxa"/>
            <w:noWrap/>
            <w:vAlign w:val="center"/>
          </w:tcPr>
          <w:p w14:paraId="4EEB2A04">
            <w:pPr>
              <w:spacing w:line="360" w:lineRule="auto"/>
              <w:rPr>
                <w:color w:val="000000" w:themeColor="text1"/>
                <w:szCs w:val="21"/>
                <w14:textFill>
                  <w14:solidFill>
                    <w14:schemeClr w14:val="tx1"/>
                  </w14:solidFill>
                </w14:textFill>
              </w:rPr>
            </w:pPr>
            <w:r>
              <w:rPr>
                <w:rFonts w:hint="eastAsia" w:ascii="宋体" w:hAnsi="宋体" w:cs="微软雅黑"/>
                <w:bCs/>
                <w:color w:val="000000" w:themeColor="text1"/>
                <w:szCs w:val="21"/>
                <w14:textFill>
                  <w14:solidFill>
                    <w14:schemeClr w14:val="tx1"/>
                  </w14:solidFill>
                </w14:textFill>
              </w:rPr>
              <w:t>参照招标文件第八章3.5格式填写</w:t>
            </w:r>
          </w:p>
        </w:tc>
      </w:tr>
      <w:tr w14:paraId="11DF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 w:hRule="atLeast"/>
          <w:jc w:val="center"/>
        </w:trPr>
        <w:tc>
          <w:tcPr>
            <w:tcW w:w="675" w:type="dxa"/>
            <w:noWrap/>
            <w:vAlign w:val="center"/>
          </w:tcPr>
          <w:p w14:paraId="03EF62BC">
            <w:pPr>
              <w:spacing w:line="38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3</w:t>
            </w:r>
          </w:p>
        </w:tc>
        <w:tc>
          <w:tcPr>
            <w:tcW w:w="2410" w:type="dxa"/>
            <w:noWrap/>
            <w:vAlign w:val="center"/>
          </w:tcPr>
          <w:p w14:paraId="15F8F41B">
            <w:pPr>
              <w:spacing w:line="38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投标</w:t>
            </w:r>
            <w:r>
              <w:rPr>
                <w:rFonts w:hint="eastAsia" w:ascii="宋体" w:hAnsi="宋体" w:cs="仿宋_GB2312"/>
                <w:b/>
                <w:color w:val="000000" w:themeColor="text1"/>
                <w:szCs w:val="21"/>
                <w:lang w:val="zh-CN"/>
                <w14:textFill>
                  <w14:solidFill>
                    <w14:schemeClr w14:val="tx1"/>
                  </w14:solidFill>
                </w14:textFill>
              </w:rPr>
              <w:t>报价</w:t>
            </w:r>
          </w:p>
        </w:tc>
        <w:tc>
          <w:tcPr>
            <w:tcW w:w="5954" w:type="dxa"/>
            <w:noWrap/>
          </w:tcPr>
          <w:p w14:paraId="1CC301D2">
            <w:pPr>
              <w:spacing w:line="360" w:lineRule="auto"/>
              <w:rPr>
                <w:rFonts w:ascii="宋体" w:hAnsi="宋体"/>
                <w:b/>
                <w:bCs/>
                <w:color w:val="000000" w:themeColor="text1"/>
                <w:szCs w:val="21"/>
                <w14:textFill>
                  <w14:solidFill>
                    <w14:schemeClr w14:val="tx1"/>
                  </w14:solidFill>
                </w14:textFill>
              </w:rPr>
            </w:pPr>
            <w:r>
              <w:rPr>
                <w:rFonts w:hint="eastAsia" w:ascii="宋体" w:hAnsi="宋体" w:cs="仿宋_GB2312"/>
                <w:color w:val="000000" w:themeColor="text1"/>
                <w:szCs w:val="21"/>
                <w:lang w:val="zh-CN"/>
                <w14:textFill>
                  <w14:solidFill>
                    <w14:schemeClr w14:val="tx1"/>
                  </w14:solidFill>
                </w14:textFill>
              </w:rPr>
              <w:t>投标报价是否超出招标文件中规定的预算金额，超出预算金额的投标无效。如供应商须知前附表规定最高限价，则</w:t>
            </w:r>
            <w:r>
              <w:rPr>
                <w:rFonts w:hint="eastAsia" w:ascii="宋体" w:hAnsi="宋体" w:cs="宋体"/>
                <w:bCs/>
                <w:color w:val="000000" w:themeColor="text1"/>
                <w:szCs w:val="21"/>
                <w:lang w:val="zh-CN"/>
                <w14:textFill>
                  <w14:solidFill>
                    <w14:schemeClr w14:val="tx1"/>
                  </w14:solidFill>
                </w14:textFill>
              </w:rPr>
              <w:t>超出预算金额和最高限价的投标无效。</w:t>
            </w:r>
          </w:p>
        </w:tc>
      </w:tr>
      <w:tr w14:paraId="1A0C7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5" w:type="dxa"/>
            <w:noWrap/>
            <w:vAlign w:val="center"/>
          </w:tcPr>
          <w:p w14:paraId="23B19DDB">
            <w:pPr>
              <w:spacing w:line="38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4</w:t>
            </w:r>
          </w:p>
        </w:tc>
        <w:tc>
          <w:tcPr>
            <w:tcW w:w="2410" w:type="dxa"/>
            <w:noWrap/>
            <w:vAlign w:val="center"/>
          </w:tcPr>
          <w:p w14:paraId="07853EC8">
            <w:pPr>
              <w:spacing w:line="38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投标保证金</w:t>
            </w:r>
          </w:p>
        </w:tc>
        <w:tc>
          <w:tcPr>
            <w:tcW w:w="5954" w:type="dxa"/>
            <w:noWrap/>
            <w:vAlign w:val="center"/>
          </w:tcPr>
          <w:p w14:paraId="2671905F">
            <w:pPr>
              <w:spacing w:line="360" w:lineRule="auto"/>
              <w:rPr>
                <w:rFonts w:ascii="宋体" w:hAnsi="宋体"/>
                <w:b/>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供应商以</w:t>
            </w:r>
            <w:r>
              <w:rPr>
                <w:rFonts w:hint="eastAsia" w:ascii="宋体" w:hAnsi="宋体"/>
                <w:color w:val="000000" w:themeColor="text1"/>
                <w:szCs w:val="21"/>
                <w:lang w:val="en-US" w:eastAsia="zh-CN"/>
                <w14:textFill>
                  <w14:solidFill>
                    <w14:schemeClr w14:val="tx1"/>
                  </w14:solidFill>
                </w14:textFill>
              </w:rPr>
              <w:t>投标</w:t>
            </w:r>
            <w:r>
              <w:rPr>
                <w:rFonts w:hint="eastAsia" w:ascii="宋体" w:hAnsi="宋体"/>
                <w:color w:val="000000" w:themeColor="text1"/>
                <w:szCs w:val="21"/>
                <w14:textFill>
                  <w14:solidFill>
                    <w14:schemeClr w14:val="tx1"/>
                  </w14:solidFill>
                </w14:textFill>
              </w:rPr>
              <w:t>承诺函的形式替代</w:t>
            </w:r>
            <w:r>
              <w:rPr>
                <w:rFonts w:hint="eastAsia" w:ascii="宋体" w:hAnsi="宋体"/>
                <w:color w:val="000000" w:themeColor="text1"/>
                <w:szCs w:val="21"/>
                <w:lang w:val="en-US" w:eastAsia="zh-CN"/>
                <w14:textFill>
                  <w14:solidFill>
                    <w14:schemeClr w14:val="tx1"/>
                  </w14:solidFill>
                </w14:textFill>
              </w:rPr>
              <w:t>投标</w:t>
            </w:r>
            <w:r>
              <w:rPr>
                <w:rFonts w:hint="eastAsia" w:ascii="宋体" w:hAnsi="宋体"/>
                <w:color w:val="000000" w:themeColor="text1"/>
                <w:szCs w:val="21"/>
                <w14:textFill>
                  <w14:solidFill>
                    <w14:schemeClr w14:val="tx1"/>
                  </w14:solidFill>
                </w14:textFill>
              </w:rPr>
              <w:t>保证金。</w:t>
            </w:r>
          </w:p>
        </w:tc>
      </w:tr>
      <w:tr w14:paraId="21127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675" w:type="dxa"/>
            <w:noWrap/>
            <w:vAlign w:val="center"/>
          </w:tcPr>
          <w:p w14:paraId="1426FC75">
            <w:pPr>
              <w:spacing w:line="38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5</w:t>
            </w:r>
          </w:p>
        </w:tc>
        <w:tc>
          <w:tcPr>
            <w:tcW w:w="2410" w:type="dxa"/>
            <w:noWrap/>
            <w:vAlign w:val="center"/>
          </w:tcPr>
          <w:p w14:paraId="2CB85882">
            <w:pPr>
              <w:spacing w:line="38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非主体、非关键性工作分包协议书(如有)</w:t>
            </w:r>
          </w:p>
        </w:tc>
        <w:tc>
          <w:tcPr>
            <w:tcW w:w="5954" w:type="dxa"/>
            <w:noWrap/>
            <w:vAlign w:val="center"/>
          </w:tcPr>
          <w:p w14:paraId="3D3DE8D4">
            <w:pPr>
              <w:spacing w:line="360" w:lineRule="auto"/>
              <w:rPr>
                <w:rFonts w:ascii="宋体" w:hAnsi="宋体"/>
                <w:b/>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如需分包，供应商应提供本协议；否则无须提供。</w:t>
            </w:r>
          </w:p>
        </w:tc>
      </w:tr>
      <w:tr w14:paraId="1374D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noWrap/>
            <w:vAlign w:val="center"/>
          </w:tcPr>
          <w:p w14:paraId="2764AA96">
            <w:pPr>
              <w:spacing w:line="380" w:lineRule="exact"/>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6</w:t>
            </w:r>
          </w:p>
        </w:tc>
        <w:tc>
          <w:tcPr>
            <w:tcW w:w="2410" w:type="dxa"/>
            <w:noWrap/>
            <w:vAlign w:val="center"/>
          </w:tcPr>
          <w:p w14:paraId="04CFB64A">
            <w:pPr>
              <w:spacing w:line="380" w:lineRule="exact"/>
              <w:contextualSpacing/>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供应商身份证明及授权</w:t>
            </w:r>
          </w:p>
        </w:tc>
        <w:tc>
          <w:tcPr>
            <w:tcW w:w="5954" w:type="dxa"/>
            <w:noWrap/>
          </w:tcPr>
          <w:p w14:paraId="038C056E">
            <w:pPr>
              <w:spacing w:line="360" w:lineRule="auto"/>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（1）法定代表人身份证明或提供法定代表人授权委托书及被授权人身份证明</w:t>
            </w:r>
            <w:r>
              <w:rPr>
                <w:rFonts w:hint="eastAsia" w:ascii="宋体" w:hAnsi="宋体" w:cs="宋体"/>
                <w:color w:val="000000" w:themeColor="text1"/>
                <w:szCs w:val="21"/>
                <w14:textFill>
                  <w14:solidFill>
                    <w14:schemeClr w14:val="tx1"/>
                  </w14:solidFill>
                </w14:textFill>
              </w:rPr>
              <w:t>和社保证明</w:t>
            </w:r>
            <w:r>
              <w:rPr>
                <w:rFonts w:hint="eastAsia" w:ascii="宋体" w:hAnsi="宋体" w:cs="宋体"/>
                <w:color w:val="000000" w:themeColor="text1"/>
                <w:szCs w:val="21"/>
                <w:lang w:val="zh-CN"/>
                <w14:textFill>
                  <w14:solidFill>
                    <w14:schemeClr w14:val="tx1"/>
                  </w14:solidFill>
                </w14:textFill>
              </w:rPr>
              <w:t>。（法人投标提供）</w:t>
            </w:r>
          </w:p>
          <w:p w14:paraId="46E34DC5">
            <w:pPr>
              <w:spacing w:line="360" w:lineRule="auto"/>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（2）单位负责人身份证明或提供单位负责人授权委托书及被授权人身份证明</w:t>
            </w:r>
            <w:r>
              <w:rPr>
                <w:rFonts w:hint="eastAsia" w:ascii="宋体" w:hAnsi="宋体" w:cs="宋体"/>
                <w:color w:val="000000" w:themeColor="text1"/>
                <w:szCs w:val="21"/>
                <w14:textFill>
                  <w14:solidFill>
                    <w14:schemeClr w14:val="tx1"/>
                  </w14:solidFill>
                </w14:textFill>
              </w:rPr>
              <w:t>和社保证明</w:t>
            </w:r>
            <w:r>
              <w:rPr>
                <w:rFonts w:hint="eastAsia" w:ascii="宋体" w:hAnsi="宋体" w:cs="宋体"/>
                <w:color w:val="000000" w:themeColor="text1"/>
                <w:szCs w:val="21"/>
                <w:lang w:val="zh-CN"/>
                <w14:textFill>
                  <w14:solidFill>
                    <w14:schemeClr w14:val="tx1"/>
                  </w14:solidFill>
                </w14:textFill>
              </w:rPr>
              <w:t>。（非法人投标提供）</w:t>
            </w:r>
          </w:p>
          <w:p w14:paraId="215197C3">
            <w:pPr>
              <w:spacing w:line="360" w:lineRule="auto"/>
              <w:rPr>
                <w:rFonts w:ascii="宋体" w:hAnsi="宋体" w:cs="宋体"/>
                <w:b/>
                <w:color w:val="000000" w:themeColor="text1"/>
                <w:szCs w:val="21"/>
                <w:lang w:val="zh-CN"/>
                <w14:textFill>
                  <w14:solidFill>
                    <w14:schemeClr w14:val="tx1"/>
                  </w14:solidFill>
                </w14:textFill>
              </w:rPr>
            </w:pPr>
            <w:r>
              <w:rPr>
                <w:rFonts w:hint="eastAsia" w:ascii="宋体" w:hAnsi="宋体" w:cs="宋体"/>
                <w:b/>
                <w:color w:val="000000" w:themeColor="text1"/>
                <w:szCs w:val="21"/>
                <w:lang w:val="zh-CN"/>
                <w14:textFill>
                  <w14:solidFill>
                    <w14:schemeClr w14:val="tx1"/>
                  </w14:solidFill>
                </w14:textFill>
              </w:rPr>
              <w:t>注：</w:t>
            </w:r>
          </w:p>
          <w:p w14:paraId="01F0E1FE">
            <w:pPr>
              <w:spacing w:line="360" w:lineRule="auto"/>
              <w:rPr>
                <w:rFonts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①企业（银行、保险、石油石化、电力、电信等行业除外）、事业单位和社会团体供应商以法人身份参加投标的，法定代表人应与实际提交的“营业执照等证明文件”载明的一致。</w:t>
            </w:r>
          </w:p>
          <w:p w14:paraId="4E034EC6">
            <w:pPr>
              <w:spacing w:line="360" w:lineRule="auto"/>
              <w:contextualSpacing/>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银行、保险、石油石化、电力、电信等行业：以法人身份参加投标的，法定代表人应与实际提交的“营业执照等证明文件”载明的一致；以非法人身份参加投标的，“单位负责人”指代表单位行使职权的主要负责人，应与实际提交的“营业执照等证明文件”载明的一致。</w:t>
            </w:r>
          </w:p>
          <w:p w14:paraId="51EF4577">
            <w:pPr>
              <w:spacing w:line="360" w:lineRule="auto"/>
              <w:contextualSpacing/>
              <w:rPr>
                <w:rFonts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w:t>
            </w:r>
            <w:r>
              <w:rPr>
                <w:rFonts w:hint="eastAsia" w:ascii="宋体" w:hAnsi="宋体" w:cs="宋体"/>
                <w:color w:val="000000" w:themeColor="text1"/>
                <w:kern w:val="0"/>
                <w:szCs w:val="21"/>
                <w14:textFill>
                  <w14:solidFill>
                    <w14:schemeClr w14:val="tx1"/>
                  </w14:solidFill>
                </w14:textFill>
              </w:rPr>
              <w:t>供应商为自然人的，无需填写法定代表人授权书。</w:t>
            </w:r>
          </w:p>
        </w:tc>
      </w:tr>
      <w:tr w14:paraId="6310C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675" w:type="dxa"/>
            <w:noWrap/>
            <w:vAlign w:val="center"/>
          </w:tcPr>
          <w:p w14:paraId="439A207D">
            <w:pPr>
              <w:spacing w:line="380" w:lineRule="exact"/>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7</w:t>
            </w:r>
          </w:p>
        </w:tc>
        <w:tc>
          <w:tcPr>
            <w:tcW w:w="2410" w:type="dxa"/>
            <w:noWrap/>
            <w:vAlign w:val="center"/>
          </w:tcPr>
          <w:p w14:paraId="5AD87606">
            <w:pP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单位负责人为同一人或者存在直接控股、管理关系的不同供应商，不得参加同一合同项下的政府采购活动</w:t>
            </w:r>
          </w:p>
        </w:tc>
        <w:tc>
          <w:tcPr>
            <w:tcW w:w="5954" w:type="dxa"/>
            <w:noWrap/>
          </w:tcPr>
          <w:p w14:paraId="4777288A">
            <w:pPr>
              <w:spacing w:line="360" w:lineRule="auto"/>
              <w:rPr>
                <w:rFonts w:ascii="宋体" w:hAnsi="宋体" w:cs="仿宋_GB2312"/>
                <w:color w:val="000000" w:themeColor="text1"/>
                <w:szCs w:val="21"/>
                <w:lang w:val="zh-CN"/>
                <w14:textFill>
                  <w14:solidFill>
                    <w14:schemeClr w14:val="tx1"/>
                  </w14:solidFill>
                </w14:textFill>
              </w:rPr>
            </w:pPr>
            <w:r>
              <w:rPr>
                <w:rFonts w:hint="eastAsia" w:ascii="宋体" w:hAnsi="宋体" w:cs="仿宋_GB2312"/>
                <w:color w:val="000000" w:themeColor="text1"/>
                <w:szCs w:val="21"/>
                <w:lang w:val="zh-CN"/>
                <w14:textFill>
                  <w14:solidFill>
                    <w14:schemeClr w14:val="tx1"/>
                  </w14:solidFill>
                </w14:textFill>
              </w:rPr>
              <w:t>供应商提供与参加本项目投标的其他供应商之间，单位负责人不为同一人并且不存在直接控股、管理关系承诺函（承诺函格式自拟）。</w:t>
            </w:r>
          </w:p>
          <w:p w14:paraId="1338CBA1">
            <w:pPr>
              <w:spacing w:line="360" w:lineRule="auto"/>
              <w:rPr>
                <w:rFonts w:ascii="宋体" w:hAnsi="宋体" w:cs="仿宋_GB2312"/>
                <w:color w:val="000000" w:themeColor="text1"/>
                <w:szCs w:val="21"/>
                <w:lang w:val="zh-CN"/>
                <w14:textFill>
                  <w14:solidFill>
                    <w14:schemeClr w14:val="tx1"/>
                  </w14:solidFill>
                </w14:textFill>
              </w:rPr>
            </w:pPr>
          </w:p>
        </w:tc>
      </w:tr>
      <w:tr w14:paraId="73E39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675" w:type="dxa"/>
            <w:noWrap/>
            <w:vAlign w:val="center"/>
          </w:tcPr>
          <w:p w14:paraId="10C7E2B4">
            <w:pPr>
              <w:spacing w:line="380" w:lineRule="exact"/>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8</w:t>
            </w:r>
          </w:p>
        </w:tc>
        <w:tc>
          <w:tcPr>
            <w:tcW w:w="2410" w:type="dxa"/>
            <w:noWrap/>
            <w:vAlign w:val="center"/>
          </w:tcPr>
          <w:p w14:paraId="66FCD279">
            <w:pP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为本项目提供整体设计、规范编制或者项目管理、监理、检测等服务的供应商不得参加本项目投标</w:t>
            </w:r>
          </w:p>
        </w:tc>
        <w:tc>
          <w:tcPr>
            <w:tcW w:w="5954" w:type="dxa"/>
            <w:noWrap/>
          </w:tcPr>
          <w:p w14:paraId="7698641B">
            <w:pPr>
              <w:spacing w:line="360" w:lineRule="auto"/>
              <w:rPr>
                <w:rFonts w:ascii="宋体" w:hAnsi="宋体" w:cs="仿宋_GB2312"/>
                <w:color w:val="000000" w:themeColor="text1"/>
                <w:szCs w:val="21"/>
                <w:lang w:val="zh-CN"/>
                <w14:textFill>
                  <w14:solidFill>
                    <w14:schemeClr w14:val="tx1"/>
                  </w14:solidFill>
                </w14:textFill>
              </w:rPr>
            </w:pPr>
            <w:r>
              <w:rPr>
                <w:rFonts w:hint="eastAsia" w:ascii="宋体" w:hAnsi="宋体" w:cs="仿宋_GB2312"/>
                <w:color w:val="000000" w:themeColor="text1"/>
                <w:szCs w:val="21"/>
                <w:lang w:val="zh-CN"/>
                <w14:textFill>
                  <w14:solidFill>
                    <w14:schemeClr w14:val="tx1"/>
                  </w14:solidFill>
                </w14:textFill>
              </w:rPr>
              <w:t>供应商提供未为本项目提供整体设计、规范编制或者项目管理、监理、检测等服务承诺函（承诺函格式自拟）。</w:t>
            </w:r>
          </w:p>
          <w:p w14:paraId="2D2D764F">
            <w:pPr>
              <w:spacing w:line="360" w:lineRule="auto"/>
              <w:rPr>
                <w:rFonts w:ascii="宋体" w:hAnsi="宋体"/>
                <w:bCs/>
                <w:color w:val="000000" w:themeColor="text1"/>
                <w:szCs w:val="21"/>
                <w14:textFill>
                  <w14:solidFill>
                    <w14:schemeClr w14:val="tx1"/>
                  </w14:solidFill>
                </w14:textFill>
              </w:rPr>
            </w:pPr>
          </w:p>
        </w:tc>
      </w:tr>
    </w:tbl>
    <w:p w14:paraId="4E6677DC">
      <w:pPr>
        <w:pStyle w:val="17"/>
        <w:spacing w:line="360" w:lineRule="auto"/>
        <w:ind w:firstLine="422" w:firstLineChars="200"/>
        <w:contextualSpacing/>
        <w:rPr>
          <w:rFonts w:ascii="宋体" w:hAnsi="宋体"/>
          <w:bCs/>
          <w:color w:val="auto"/>
          <w:sz w:val="21"/>
          <w:szCs w:val="21"/>
          <w:highlight w:val="none"/>
        </w:rPr>
      </w:pPr>
      <w:r>
        <w:rPr>
          <w:rFonts w:hint="eastAsia" w:ascii="宋体" w:hAnsi="宋体" w:cs="仿宋_GB2312"/>
          <w:b/>
          <w:color w:val="auto"/>
          <w:sz w:val="21"/>
          <w:szCs w:val="21"/>
          <w:highlight w:val="none"/>
          <w:lang w:val="zh-CN"/>
        </w:rPr>
        <w:t>（二）符合性</w:t>
      </w:r>
      <w:r>
        <w:rPr>
          <w:rFonts w:ascii="宋体" w:hAnsi="宋体" w:cs="仿宋_GB2312"/>
          <w:b/>
          <w:color w:val="auto"/>
          <w:sz w:val="21"/>
          <w:szCs w:val="21"/>
          <w:highlight w:val="none"/>
          <w:lang w:val="zh-CN"/>
        </w:rPr>
        <w:t>审查</w:t>
      </w:r>
    </w:p>
    <w:p w14:paraId="6C392110">
      <w:pPr>
        <w:pStyle w:val="17"/>
        <w:spacing w:line="360" w:lineRule="auto"/>
        <w:ind w:firstLine="422" w:firstLineChars="200"/>
        <w:contextualSpacing/>
        <w:jc w:val="left"/>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1、</w:t>
      </w:r>
      <w:r>
        <w:rPr>
          <w:rFonts w:ascii="宋体" w:hAnsi="宋体" w:cs="仿宋_GB2312"/>
          <w:b/>
          <w:color w:val="auto"/>
          <w:sz w:val="21"/>
          <w:szCs w:val="21"/>
          <w:highlight w:val="none"/>
          <w:lang w:val="zh-CN"/>
        </w:rPr>
        <w:t>审查、评价</w:t>
      </w:r>
      <w:r>
        <w:rPr>
          <w:rFonts w:hint="eastAsia" w:ascii="宋体" w:hAnsi="宋体" w:cs="仿宋_GB2312"/>
          <w:b/>
          <w:color w:val="auto"/>
          <w:sz w:val="21"/>
          <w:szCs w:val="21"/>
          <w:highlight w:val="none"/>
          <w:lang w:val="zh-CN"/>
        </w:rPr>
        <w:t>响应</w:t>
      </w:r>
      <w:r>
        <w:rPr>
          <w:rFonts w:ascii="宋体" w:hAnsi="宋体" w:cs="仿宋_GB2312"/>
          <w:b/>
          <w:color w:val="auto"/>
          <w:sz w:val="21"/>
          <w:szCs w:val="21"/>
          <w:highlight w:val="none"/>
          <w:lang w:val="zh-CN"/>
        </w:rPr>
        <w:t>文件是否符合</w:t>
      </w:r>
      <w:r>
        <w:rPr>
          <w:rFonts w:hint="eastAsia" w:ascii="宋体" w:hAnsi="宋体" w:cs="仿宋_GB2312"/>
          <w:b/>
          <w:color w:val="auto"/>
          <w:sz w:val="21"/>
          <w:szCs w:val="21"/>
          <w:highlight w:val="none"/>
          <w:lang w:val="zh-CN"/>
        </w:rPr>
        <w:t>磋商</w:t>
      </w:r>
      <w:r>
        <w:rPr>
          <w:rFonts w:ascii="宋体" w:hAnsi="宋体" w:cs="仿宋_GB2312"/>
          <w:b/>
          <w:color w:val="auto"/>
          <w:sz w:val="21"/>
          <w:szCs w:val="21"/>
          <w:highlight w:val="none"/>
          <w:lang w:val="zh-CN"/>
        </w:rPr>
        <w:t>文件的商务、技术等实质性要求；</w:t>
      </w:r>
    </w:p>
    <w:p w14:paraId="417B1438">
      <w:pPr>
        <w:pStyle w:val="17"/>
        <w:spacing w:line="360" w:lineRule="auto"/>
        <w:ind w:firstLine="420" w:firstLineChars="200"/>
        <w:contextualSpacing/>
        <w:jc w:val="left"/>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磋商小组对符合资格的投标人的响应文件进行符合性审查，以确定其是否满足磋商文件的商务、技术等实质性要求。</w:t>
      </w:r>
    </w:p>
    <w:p w14:paraId="22D09511">
      <w:pPr>
        <w:pStyle w:val="17"/>
        <w:spacing w:line="360" w:lineRule="auto"/>
        <w:ind w:firstLine="480" w:firstLineChars="200"/>
        <w:contextualSpacing/>
        <w:jc w:val="left"/>
        <w:rPr>
          <w:rFonts w:ascii="宋体" w:hAnsi="宋体" w:cs="仿宋_GB2312"/>
          <w:color w:val="auto"/>
          <w:sz w:val="21"/>
          <w:szCs w:val="21"/>
          <w:highlight w:val="none"/>
          <w:lang w:val="zh-CN"/>
        </w:rPr>
      </w:pPr>
      <w:r>
        <w:rPr>
          <w:rFonts w:hint="eastAsia" w:ascii="楷体" w:hAnsi="楷体" w:eastAsia="楷体" w:cs="仿宋_GB2312"/>
          <w:color w:val="auto"/>
          <w:szCs w:val="24"/>
          <w:highlight w:val="none"/>
          <w:lang w:val="zh-CN"/>
        </w:rPr>
        <w:t>注：符合性审查中所涉及到的证书及材料，均应在电子响应文件中提供原件扫描件（或图片）。</w:t>
      </w:r>
    </w:p>
    <w:p w14:paraId="76C5309B">
      <w:pPr>
        <w:pStyle w:val="17"/>
        <w:spacing w:line="360" w:lineRule="auto"/>
        <w:ind w:firstLine="422" w:firstLineChars="200"/>
        <w:contextualSpacing/>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2、</w:t>
      </w:r>
      <w:r>
        <w:rPr>
          <w:rFonts w:ascii="宋体" w:hAnsi="宋体" w:cs="仿宋_GB2312"/>
          <w:b/>
          <w:color w:val="auto"/>
          <w:sz w:val="21"/>
          <w:szCs w:val="21"/>
          <w:highlight w:val="none"/>
          <w:lang w:val="zh-CN"/>
        </w:rPr>
        <w:t>要求</w:t>
      </w:r>
      <w:r>
        <w:rPr>
          <w:rFonts w:hint="eastAsia" w:ascii="宋体" w:hAnsi="宋体" w:cs="仿宋_GB2312"/>
          <w:b/>
          <w:color w:val="auto"/>
          <w:sz w:val="21"/>
          <w:szCs w:val="21"/>
          <w:highlight w:val="none"/>
          <w:lang w:val="zh-CN"/>
        </w:rPr>
        <w:t>供应商</w:t>
      </w:r>
      <w:r>
        <w:rPr>
          <w:rFonts w:ascii="宋体" w:hAnsi="宋体" w:cs="仿宋_GB2312"/>
          <w:b/>
          <w:color w:val="auto"/>
          <w:sz w:val="21"/>
          <w:szCs w:val="21"/>
          <w:highlight w:val="none"/>
          <w:lang w:val="zh-CN"/>
        </w:rPr>
        <w:t>对</w:t>
      </w:r>
      <w:r>
        <w:rPr>
          <w:rFonts w:hint="eastAsia" w:ascii="宋体" w:hAnsi="宋体" w:cs="仿宋_GB2312"/>
          <w:b/>
          <w:color w:val="auto"/>
          <w:sz w:val="21"/>
          <w:szCs w:val="21"/>
          <w:highlight w:val="none"/>
          <w:lang w:val="zh-CN"/>
        </w:rPr>
        <w:t>响应</w:t>
      </w:r>
      <w:r>
        <w:rPr>
          <w:rFonts w:ascii="宋体" w:hAnsi="宋体" w:cs="仿宋_GB2312"/>
          <w:b/>
          <w:color w:val="auto"/>
          <w:sz w:val="21"/>
          <w:szCs w:val="21"/>
          <w:highlight w:val="none"/>
          <w:lang w:val="zh-CN"/>
        </w:rPr>
        <w:t>文件有关事项作出澄清或者说明；</w:t>
      </w:r>
    </w:p>
    <w:p w14:paraId="29B538C8">
      <w:pPr>
        <w:pStyle w:val="17"/>
        <w:spacing w:line="360" w:lineRule="auto"/>
        <w:ind w:firstLine="420" w:firstLineChars="200"/>
        <w:contextualSpacing/>
        <w:rPr>
          <w:rFonts w:ascii="宋体" w:hAnsi="宋体" w:cs="仿宋_GB2312"/>
          <w:color w:val="auto"/>
          <w:sz w:val="21"/>
          <w:szCs w:val="21"/>
          <w:highlight w:val="none"/>
          <w:lang w:val="zh-CN"/>
        </w:rPr>
      </w:pPr>
      <w:r>
        <w:rPr>
          <w:rFonts w:ascii="Arial" w:hAnsi="Arial" w:cs="Arial"/>
          <w:color w:val="auto"/>
          <w:sz w:val="21"/>
          <w:szCs w:val="21"/>
          <w:highlight w:val="none"/>
          <w:shd w:val="clear" w:color="auto" w:fill="FFFFFF"/>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5269BDA">
      <w:pPr>
        <w:pStyle w:val="17"/>
        <w:spacing w:line="360" w:lineRule="auto"/>
        <w:ind w:firstLine="465"/>
        <w:contextualSpacing/>
        <w:jc w:val="left"/>
        <w:rPr>
          <w:rFonts w:ascii="Arial" w:hAnsi="Arial" w:cs="Arial"/>
          <w:color w:val="auto"/>
          <w:sz w:val="21"/>
          <w:szCs w:val="21"/>
          <w:highlight w:val="none"/>
          <w:shd w:val="clear" w:color="auto" w:fill="FFFFFF"/>
        </w:rPr>
      </w:pPr>
      <w:r>
        <w:rPr>
          <w:rFonts w:ascii="Arial" w:hAnsi="Arial" w:cs="Arial"/>
          <w:color w:val="auto"/>
          <w:sz w:val="21"/>
          <w:szCs w:val="21"/>
          <w:highlight w:val="none"/>
          <w:shd w:val="clear" w:color="auto" w:fill="FFFFFF"/>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AC16C34">
      <w:pPr>
        <w:pStyle w:val="17"/>
        <w:spacing w:line="360" w:lineRule="auto"/>
        <w:ind w:firstLine="465"/>
        <w:contextualSpacing/>
        <w:jc w:val="left"/>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3、最后报价；</w:t>
      </w:r>
    </w:p>
    <w:p w14:paraId="304E7234">
      <w:pPr>
        <w:pStyle w:val="17"/>
        <w:spacing w:line="360" w:lineRule="auto"/>
        <w:ind w:firstLine="420" w:firstLineChars="200"/>
        <w:contextualSpacing/>
        <w:rPr>
          <w:rFonts w:ascii="Arial" w:hAnsi="Arial" w:cs="Arial"/>
          <w:color w:val="auto"/>
          <w:sz w:val="21"/>
          <w:szCs w:val="21"/>
          <w:highlight w:val="none"/>
          <w:shd w:val="clear" w:color="auto" w:fill="FFFFFF"/>
        </w:rPr>
      </w:pPr>
      <w:r>
        <w:rPr>
          <w:rFonts w:hint="eastAsia" w:ascii="Arial" w:hAnsi="Arial" w:cs="Arial"/>
          <w:color w:val="auto"/>
          <w:sz w:val="21"/>
          <w:szCs w:val="21"/>
          <w:highlight w:val="none"/>
          <w:shd w:val="clear" w:color="auto" w:fill="FFFFFF"/>
        </w:rPr>
        <w:t>磋商文件能够详细列明采购标的的技术、服务要求的，磋商结束后，磋商小组应当要求所有实质性响应的供应商在规定时间内提交最后报价，提交最后报价的供应商不得少于3家。</w:t>
      </w:r>
    </w:p>
    <w:p w14:paraId="54846719">
      <w:pPr>
        <w:pStyle w:val="17"/>
        <w:spacing w:line="360" w:lineRule="auto"/>
        <w:ind w:firstLine="420" w:firstLineChars="200"/>
        <w:contextualSpacing/>
        <w:rPr>
          <w:rFonts w:ascii="Arial" w:hAnsi="Arial" w:cs="Arial"/>
          <w:color w:val="auto"/>
          <w:sz w:val="21"/>
          <w:szCs w:val="21"/>
          <w:highlight w:val="none"/>
          <w:shd w:val="clear" w:color="auto" w:fill="FFFFFF"/>
        </w:rPr>
      </w:pPr>
      <w:r>
        <w:rPr>
          <w:rFonts w:hint="eastAsia" w:ascii="Arial" w:hAnsi="Arial" w:cs="Arial"/>
          <w:color w:val="auto"/>
          <w:sz w:val="21"/>
          <w:szCs w:val="21"/>
          <w:highlight w:val="none"/>
          <w:shd w:val="clear" w:color="auto" w:fill="FFFFFF"/>
        </w:rPr>
        <w:t>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4E9008B3">
      <w:pPr>
        <w:pStyle w:val="17"/>
        <w:spacing w:line="360" w:lineRule="auto"/>
        <w:ind w:firstLine="420" w:firstLineChars="200"/>
        <w:contextualSpacing/>
        <w:rPr>
          <w:rFonts w:ascii="Arial" w:hAnsi="Arial" w:cs="Arial"/>
          <w:color w:val="auto"/>
          <w:sz w:val="21"/>
          <w:szCs w:val="21"/>
          <w:highlight w:val="none"/>
          <w:shd w:val="clear" w:color="auto" w:fill="FFFFFF"/>
        </w:rPr>
      </w:pPr>
      <w:r>
        <w:rPr>
          <w:rFonts w:hint="eastAsia" w:ascii="Arial" w:hAnsi="Arial" w:cs="Arial"/>
          <w:color w:val="auto"/>
          <w:sz w:val="21"/>
          <w:szCs w:val="21"/>
          <w:highlight w:val="none"/>
          <w:shd w:val="clear" w:color="auto" w:fill="FFFFFF"/>
        </w:rPr>
        <w:t>最后报价是供应商响应文件的有效组成部分。符合《政府采购竞争性磋商采购方式管理暂行办法》【（财库2014）214号】第三条第四项情形的，提交最后报价的供应商可以为2家。</w:t>
      </w:r>
    </w:p>
    <w:p w14:paraId="3002A790">
      <w:pPr>
        <w:pStyle w:val="17"/>
        <w:spacing w:line="360" w:lineRule="auto"/>
        <w:ind w:firstLine="465"/>
        <w:contextualSpacing/>
        <w:jc w:val="left"/>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4、</w:t>
      </w:r>
      <w:r>
        <w:rPr>
          <w:rFonts w:ascii="宋体" w:hAnsi="宋体" w:cs="仿宋_GB2312"/>
          <w:b/>
          <w:color w:val="auto"/>
          <w:sz w:val="21"/>
          <w:szCs w:val="21"/>
          <w:highlight w:val="none"/>
          <w:lang w:val="zh-CN"/>
        </w:rPr>
        <w:t>对</w:t>
      </w:r>
      <w:r>
        <w:rPr>
          <w:rFonts w:hint="eastAsia" w:ascii="宋体" w:hAnsi="宋体" w:cs="仿宋_GB2312"/>
          <w:b/>
          <w:color w:val="auto"/>
          <w:sz w:val="21"/>
          <w:szCs w:val="21"/>
          <w:highlight w:val="none"/>
          <w:lang w:val="zh-CN"/>
        </w:rPr>
        <w:t>响应</w:t>
      </w:r>
      <w:r>
        <w:rPr>
          <w:rFonts w:ascii="宋体" w:hAnsi="宋体" w:cs="仿宋_GB2312"/>
          <w:b/>
          <w:color w:val="auto"/>
          <w:sz w:val="21"/>
          <w:szCs w:val="21"/>
          <w:highlight w:val="none"/>
          <w:lang w:val="zh-CN"/>
        </w:rPr>
        <w:t>文件进行比较和评价；</w:t>
      </w:r>
    </w:p>
    <w:p w14:paraId="1FAF09AA">
      <w:pPr>
        <w:pStyle w:val="17"/>
        <w:spacing w:line="360" w:lineRule="auto"/>
        <w:ind w:firstLine="420" w:firstLineChars="200"/>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磋商小组按照磋商文件中规定的评分标准，对符合性审查合格的响应文件进行商务和技术评估，综合比较与评价。</w:t>
      </w:r>
      <w:r>
        <w:rPr>
          <w:rFonts w:ascii="Arial" w:hAnsi="Arial" w:cs="Arial"/>
          <w:color w:val="auto"/>
          <w:sz w:val="21"/>
          <w:szCs w:val="21"/>
          <w:highlight w:val="none"/>
          <w:shd w:val="clear" w:color="auto" w:fill="FFFFFF"/>
        </w:rPr>
        <w:t>评审时，磋商小组各成员应当独立对每个有效响应的文件进行评价、打分，然后汇总每个供应商每项评分因素的得分。</w:t>
      </w:r>
    </w:p>
    <w:p w14:paraId="14E2171A">
      <w:pPr>
        <w:pStyle w:val="17"/>
        <w:spacing w:line="360" w:lineRule="auto"/>
        <w:ind w:firstLine="480" w:firstLineChars="200"/>
        <w:contextualSpacing/>
        <w:jc w:val="left"/>
        <w:rPr>
          <w:rFonts w:ascii="宋体" w:hAnsi="宋体" w:cs="仿宋_GB2312"/>
          <w:color w:val="auto"/>
          <w:sz w:val="21"/>
          <w:szCs w:val="21"/>
          <w:highlight w:val="none"/>
          <w:lang w:val="zh-CN"/>
        </w:rPr>
      </w:pPr>
      <w:r>
        <w:rPr>
          <w:rFonts w:hint="eastAsia" w:ascii="楷体" w:hAnsi="楷体" w:eastAsia="楷体" w:cs="仿宋_GB2312"/>
          <w:color w:val="auto"/>
          <w:szCs w:val="24"/>
          <w:highlight w:val="none"/>
          <w:lang w:val="zh-CN"/>
        </w:rPr>
        <w:t>注：评分标准中所涉及到的证书及材料，均应在电子响应文件中提供原件扫描件（或图片）。</w:t>
      </w:r>
    </w:p>
    <w:p w14:paraId="62D74EAD">
      <w:pPr>
        <w:pStyle w:val="17"/>
        <w:spacing w:line="360" w:lineRule="auto"/>
        <w:ind w:firstLine="422" w:firstLineChars="200"/>
        <w:contextualSpacing/>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（1）价格分计算</w:t>
      </w:r>
    </w:p>
    <w:p w14:paraId="21B6B58E">
      <w:pPr>
        <w:snapToGrid w:val="0"/>
        <w:spacing w:line="300" w:lineRule="auto"/>
        <w:ind w:left="151" w:leftChars="72" w:right="267" w:rightChars="127" w:firstLine="420" w:firstLineChars="200"/>
        <w:rPr>
          <w:rFonts w:ascii="宋体" w:hAnsi="宋体" w:cs="仿宋_GB2312"/>
          <w:color w:val="auto"/>
          <w:szCs w:val="21"/>
          <w:highlight w:val="none"/>
          <w:lang w:val="zh-CN"/>
        </w:rPr>
      </w:pPr>
      <w:r>
        <w:rPr>
          <w:rFonts w:ascii="宋体" w:hAnsi="宋体" w:cs="仿宋_GB2312"/>
          <w:color w:val="auto"/>
          <w:szCs w:val="21"/>
          <w:highlight w:val="none"/>
          <w:lang w:val="zh-CN"/>
        </w:rPr>
        <w:t>价格分采用低价优先法计算，</w:t>
      </w:r>
      <w:r>
        <w:rPr>
          <w:rFonts w:ascii="Arial" w:hAnsi="Arial" w:cs="Arial"/>
          <w:color w:val="auto"/>
          <w:szCs w:val="21"/>
          <w:highlight w:val="none"/>
          <w:shd w:val="clear" w:color="auto" w:fill="FFFFFF"/>
        </w:rPr>
        <w:t>即满足磋商文件要求且最后报价最低的供应商的价格为磋商基准价，其价格分为满分。</w:t>
      </w:r>
    </w:p>
    <w:p w14:paraId="3BF67EE5">
      <w:pPr>
        <w:tabs>
          <w:tab w:val="left" w:pos="1260"/>
        </w:tabs>
        <w:autoSpaceDE w:val="0"/>
        <w:autoSpaceDN w:val="0"/>
        <w:spacing w:line="360" w:lineRule="auto"/>
        <w:ind w:firstLine="420" w:firstLineChars="200"/>
        <w:contextualSpacing/>
        <w:rPr>
          <w:rFonts w:ascii="宋体" w:hAnsi="宋体" w:cs="仿宋_GB2312"/>
          <w:color w:val="auto"/>
          <w:szCs w:val="21"/>
          <w:highlight w:val="none"/>
        </w:rPr>
      </w:pPr>
      <w:r>
        <w:rPr>
          <w:rFonts w:hint="eastAsia" w:ascii="宋体" w:hAnsi="宋体" w:cs="仿宋_GB2312"/>
          <w:color w:val="auto"/>
          <w:szCs w:val="21"/>
          <w:highlight w:val="none"/>
          <w:lang w:val="zh-CN"/>
        </w:rPr>
        <w:t>报价得分=磋商基准价/有效磋商报价×</w:t>
      </w:r>
      <w:r>
        <w:rPr>
          <w:rFonts w:hint="eastAsia" w:ascii="宋体" w:hAnsi="宋体" w:cs="仿宋_GB2312"/>
          <w:color w:val="auto"/>
          <w:szCs w:val="21"/>
          <w:highlight w:val="none"/>
          <w:lang w:val="en-US" w:eastAsia="zh-CN"/>
        </w:rPr>
        <w:t>3</w:t>
      </w:r>
      <w:r>
        <w:rPr>
          <w:rFonts w:hint="eastAsia" w:ascii="宋体" w:hAnsi="宋体" w:cs="仿宋_GB2312"/>
          <w:color w:val="auto"/>
          <w:szCs w:val="21"/>
          <w:highlight w:val="none"/>
        </w:rPr>
        <w:t>0</w:t>
      </w:r>
    </w:p>
    <w:p w14:paraId="3D40D34F">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计算按四舍五入法则，保留小数点后两位。</w:t>
      </w:r>
    </w:p>
    <w:p w14:paraId="4DE0C6A7">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所有未进入详细评审的磋商作为无效磋商，其报价不作为评分依据。</w:t>
      </w:r>
    </w:p>
    <w:p w14:paraId="373FC8D7">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经评标委员会认定具有下述情况之一的磋商，其报价不作为评分依据。</w:t>
      </w:r>
    </w:p>
    <w:p w14:paraId="46B75E9D">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（1）报价明显低于其他通过符合性审查投标人的报价，有可能影响产品质量或者不能诚信履约的，其在评标现场合理的时间内提供书面说明和提交相关证明材料不能证明其报价合理性的。</w:t>
      </w:r>
    </w:p>
    <w:p w14:paraId="2037720E">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（2）虚假磋商。</w:t>
      </w:r>
    </w:p>
    <w:p w14:paraId="234263F5">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（3）未满足磋商文件实质性要求的磋商。</w:t>
      </w:r>
    </w:p>
    <w:p w14:paraId="49BC01FA">
      <w:pPr>
        <w:tabs>
          <w:tab w:val="left" w:pos="1260"/>
        </w:tabs>
        <w:autoSpaceDE w:val="0"/>
        <w:autoSpaceDN w:val="0"/>
        <w:spacing w:line="360" w:lineRule="auto"/>
        <w:ind w:firstLine="422" w:firstLineChars="200"/>
        <w:contextualSpacing/>
        <w:rPr>
          <w:rFonts w:ascii="宋体" w:hAnsi="宋体" w:cs="仿宋_GB2312"/>
          <w:b/>
          <w:color w:val="auto"/>
          <w:szCs w:val="21"/>
          <w:highlight w:val="none"/>
          <w:lang w:val="zh-CN"/>
        </w:rPr>
      </w:pPr>
      <w:r>
        <w:rPr>
          <w:rFonts w:hint="eastAsia" w:ascii="宋体" w:hAnsi="宋体" w:cs="仿宋_GB2312"/>
          <w:b/>
          <w:color w:val="auto"/>
          <w:szCs w:val="21"/>
          <w:highlight w:val="none"/>
          <w:lang w:val="zh-CN"/>
        </w:rPr>
        <w:t>（3）投标无效情形</w:t>
      </w:r>
    </w:p>
    <w:p w14:paraId="657EF69A">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1）供应商应当遵循公平竞争的原则，不得恶意串通，不得妨碍其他供应商的竞争行为，不得损害采购人或者其他供应商的合法权益。在评审过程中发现供应商有上述情形的，磋商小组应当认定其响应无效。</w:t>
      </w:r>
    </w:p>
    <w:p w14:paraId="5BD0E328">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2）符合性审查资料未按磋商文件要求签署、盖章的；</w:t>
      </w:r>
    </w:p>
    <w:p w14:paraId="744EA52A">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3）有下列情形之一的，视为供应商串通投标，其响应无效：</w:t>
      </w:r>
    </w:p>
    <w:p w14:paraId="6F8A6269">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a.不同供应商的响应文件由同一单位或者个人编制；</w:t>
      </w:r>
    </w:p>
    <w:p w14:paraId="052DC945">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b.不同供应商委托同一单位或者个人办理响应事宜；</w:t>
      </w:r>
    </w:p>
    <w:p w14:paraId="451E0663">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c.不同供应商的响应文件载明的项目管理成员或者联系人员为同一人；</w:t>
      </w:r>
    </w:p>
    <w:p w14:paraId="55B77EB4">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d.不同供应商的响应文件异常一致或者投标报价呈规律性差异；</w:t>
      </w:r>
    </w:p>
    <w:p w14:paraId="7806433C">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e.不同供应商的响应文件相互混装；</w:t>
      </w:r>
    </w:p>
    <w:p w14:paraId="7D56420A">
      <w:pPr>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4）</w:t>
      </w:r>
      <w:r>
        <w:rPr>
          <w:rFonts w:ascii="宋体" w:hAnsi="宋体" w:cs="仿宋_GB2312"/>
          <w:color w:val="auto"/>
          <w:szCs w:val="21"/>
          <w:highlight w:val="none"/>
          <w:lang w:val="zh-CN"/>
        </w:rPr>
        <w:t>法律、法规和</w:t>
      </w:r>
      <w:r>
        <w:rPr>
          <w:rFonts w:hint="eastAsia" w:ascii="宋体" w:hAnsi="宋体" w:cs="仿宋_GB2312"/>
          <w:color w:val="auto"/>
          <w:szCs w:val="21"/>
          <w:highlight w:val="none"/>
          <w:lang w:val="zh-CN"/>
        </w:rPr>
        <w:t>磋商</w:t>
      </w:r>
      <w:r>
        <w:rPr>
          <w:rFonts w:ascii="宋体" w:hAnsi="宋体" w:cs="仿宋_GB2312"/>
          <w:color w:val="auto"/>
          <w:szCs w:val="21"/>
          <w:highlight w:val="none"/>
          <w:lang w:val="zh-CN"/>
        </w:rPr>
        <w:t>文件规定的其他无效情形。</w:t>
      </w:r>
    </w:p>
    <w:p w14:paraId="5EB55F02">
      <w:pPr>
        <w:pStyle w:val="17"/>
        <w:spacing w:line="360" w:lineRule="auto"/>
        <w:ind w:firstLine="422" w:firstLineChars="200"/>
        <w:contextualSpacing/>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二、评审标准</w:t>
      </w:r>
    </w:p>
    <w:p w14:paraId="279FFC13">
      <w:pPr>
        <w:pStyle w:val="17"/>
        <w:spacing w:line="360" w:lineRule="auto"/>
        <w:ind w:firstLine="422" w:firstLineChars="200"/>
        <w:contextualSpacing/>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（1）本项目采用综合评分法。总分为100分。</w:t>
      </w:r>
    </w:p>
    <w:tbl>
      <w:tblPr>
        <w:tblStyle w:val="31"/>
        <w:tblW w:w="9130" w:type="dxa"/>
        <w:jc w:val="center"/>
        <w:tblLayout w:type="fixed"/>
        <w:tblCellMar>
          <w:top w:w="0" w:type="dxa"/>
          <w:left w:w="0" w:type="dxa"/>
          <w:bottom w:w="0" w:type="dxa"/>
          <w:right w:w="0" w:type="dxa"/>
        </w:tblCellMar>
      </w:tblPr>
      <w:tblGrid>
        <w:gridCol w:w="1551"/>
        <w:gridCol w:w="22"/>
        <w:gridCol w:w="22"/>
        <w:gridCol w:w="6614"/>
        <w:gridCol w:w="921"/>
      </w:tblGrid>
      <w:tr w14:paraId="6695C2E7">
        <w:tblPrEx>
          <w:tblCellMar>
            <w:top w:w="0" w:type="dxa"/>
            <w:left w:w="0" w:type="dxa"/>
            <w:bottom w:w="0" w:type="dxa"/>
            <w:right w:w="0" w:type="dxa"/>
          </w:tblCellMar>
        </w:tblPrEx>
        <w:trPr>
          <w:trHeight w:val="1129" w:hRule="atLeast"/>
          <w:jc w:val="center"/>
        </w:trPr>
        <w:tc>
          <w:tcPr>
            <w:tcW w:w="15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3949602">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分值构成</w:t>
            </w:r>
          </w:p>
        </w:tc>
        <w:tc>
          <w:tcPr>
            <w:tcW w:w="7579" w:type="dxa"/>
            <w:gridSpan w:val="4"/>
            <w:tcBorders>
              <w:top w:val="single" w:color="auto" w:sz="8" w:space="0"/>
              <w:left w:val="nil"/>
              <w:bottom w:val="single" w:color="auto" w:sz="8" w:space="0"/>
              <w:right w:val="single" w:color="auto" w:sz="8" w:space="0"/>
            </w:tcBorders>
            <w:tcMar>
              <w:left w:w="108" w:type="dxa"/>
              <w:right w:w="108" w:type="dxa"/>
            </w:tcMar>
            <w:vAlign w:val="center"/>
          </w:tcPr>
          <w:p w14:paraId="0EFF8CA1">
            <w:pPr>
              <w:widowControl/>
              <w:spacing w:line="330" w:lineRule="atLeast"/>
              <w:jc w:val="center"/>
              <w:rPr>
                <w:rFonts w:ascii="宋体" w:hAnsi="宋体"/>
                <w:b/>
                <w:color w:val="auto"/>
                <w:szCs w:val="21"/>
                <w:highlight w:val="none"/>
              </w:rPr>
            </w:pPr>
            <w:r>
              <w:rPr>
                <w:rFonts w:hint="eastAsia" w:ascii="宋体" w:hAnsi="宋体"/>
                <w:b/>
                <w:color w:val="auto"/>
                <w:szCs w:val="21"/>
                <w:highlight w:val="none"/>
              </w:rPr>
              <w:t xml:space="preserve">价格分值：  </w:t>
            </w:r>
            <w:r>
              <w:rPr>
                <w:rFonts w:hint="eastAsia" w:ascii="宋体" w:hAnsi="宋体"/>
                <w:b/>
                <w:color w:val="auto"/>
                <w:szCs w:val="21"/>
                <w:highlight w:val="none"/>
                <w:lang w:val="en-US" w:eastAsia="zh-CN"/>
              </w:rPr>
              <w:t>3</w:t>
            </w:r>
            <w:r>
              <w:rPr>
                <w:rFonts w:hint="eastAsia" w:ascii="宋体" w:hAnsi="宋体"/>
                <w:b/>
                <w:color w:val="auto"/>
                <w:szCs w:val="21"/>
                <w:highlight w:val="none"/>
              </w:rPr>
              <w:t>0分</w:t>
            </w:r>
          </w:p>
          <w:p w14:paraId="1D01050C">
            <w:pPr>
              <w:widowControl/>
              <w:spacing w:line="330" w:lineRule="atLeast"/>
              <w:jc w:val="center"/>
              <w:rPr>
                <w:rFonts w:ascii="宋体" w:hAnsi="宋体"/>
                <w:b/>
                <w:color w:val="auto"/>
                <w:szCs w:val="21"/>
                <w:highlight w:val="none"/>
              </w:rPr>
            </w:pPr>
            <w:r>
              <w:rPr>
                <w:rFonts w:hint="eastAsia" w:ascii="宋体" w:hAnsi="宋体"/>
                <w:b/>
                <w:color w:val="auto"/>
                <w:szCs w:val="21"/>
                <w:highlight w:val="none"/>
              </w:rPr>
              <w:t xml:space="preserve">商务部分： </w:t>
            </w:r>
            <w:r>
              <w:rPr>
                <w:rFonts w:hint="eastAsia" w:ascii="宋体" w:hAnsi="宋体"/>
                <w:b/>
                <w:color w:val="auto"/>
                <w:szCs w:val="21"/>
                <w:highlight w:val="none"/>
                <w:lang w:val="en-US" w:eastAsia="zh-CN"/>
              </w:rPr>
              <w:t xml:space="preserve"> 25</w:t>
            </w:r>
            <w:r>
              <w:rPr>
                <w:rFonts w:hint="eastAsia" w:ascii="宋体" w:hAnsi="宋体"/>
                <w:b/>
                <w:color w:val="auto"/>
                <w:szCs w:val="21"/>
                <w:highlight w:val="none"/>
              </w:rPr>
              <w:t>分</w:t>
            </w:r>
          </w:p>
          <w:p w14:paraId="3C1AE4BF">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 xml:space="preserve">技术部分：  </w:t>
            </w:r>
            <w:r>
              <w:rPr>
                <w:rFonts w:hint="eastAsia" w:ascii="宋体" w:hAnsi="宋体"/>
                <w:b/>
                <w:color w:val="auto"/>
                <w:szCs w:val="21"/>
                <w:highlight w:val="none"/>
                <w:lang w:val="en-US" w:eastAsia="zh-CN"/>
              </w:rPr>
              <w:t>45</w:t>
            </w:r>
            <w:r>
              <w:rPr>
                <w:rFonts w:hint="eastAsia" w:ascii="宋体" w:hAnsi="宋体"/>
                <w:b/>
                <w:color w:val="auto"/>
                <w:szCs w:val="21"/>
                <w:highlight w:val="none"/>
              </w:rPr>
              <w:t>分</w:t>
            </w:r>
          </w:p>
        </w:tc>
      </w:tr>
      <w:tr w14:paraId="7668EFC6">
        <w:tblPrEx>
          <w:tblCellMar>
            <w:top w:w="0" w:type="dxa"/>
            <w:left w:w="0" w:type="dxa"/>
            <w:bottom w:w="0" w:type="dxa"/>
            <w:right w:w="0" w:type="dxa"/>
          </w:tblCellMar>
        </w:tblPrEx>
        <w:trPr>
          <w:trHeight w:val="612" w:hRule="atLeast"/>
          <w:jc w:val="center"/>
        </w:trPr>
        <w:tc>
          <w:tcPr>
            <w:tcW w:w="9130" w:type="dxa"/>
            <w:gridSpan w:val="5"/>
            <w:tcBorders>
              <w:top w:val="nil"/>
              <w:left w:val="single" w:color="auto" w:sz="8" w:space="0"/>
              <w:bottom w:val="single" w:color="auto" w:sz="8" w:space="0"/>
              <w:right w:val="single" w:color="auto" w:sz="8" w:space="0"/>
            </w:tcBorders>
            <w:tcMar>
              <w:left w:w="108" w:type="dxa"/>
              <w:right w:w="108" w:type="dxa"/>
            </w:tcMar>
            <w:vAlign w:val="center"/>
          </w:tcPr>
          <w:p w14:paraId="797C93AA">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一、价格部分（满分</w:t>
            </w:r>
            <w:r>
              <w:rPr>
                <w:rFonts w:hint="eastAsia" w:ascii="宋体" w:hAnsi="宋体"/>
                <w:b/>
                <w:color w:val="auto"/>
                <w:szCs w:val="21"/>
                <w:highlight w:val="none"/>
                <w:lang w:val="en-US" w:eastAsia="zh-CN"/>
              </w:rPr>
              <w:t>30</w:t>
            </w:r>
            <w:r>
              <w:rPr>
                <w:rFonts w:hint="eastAsia" w:ascii="宋体" w:hAnsi="宋体"/>
                <w:b/>
                <w:color w:val="auto"/>
                <w:szCs w:val="21"/>
                <w:highlight w:val="none"/>
              </w:rPr>
              <w:t>分）</w:t>
            </w:r>
          </w:p>
        </w:tc>
      </w:tr>
      <w:tr w14:paraId="42BAAFB1">
        <w:tblPrEx>
          <w:tblCellMar>
            <w:top w:w="0" w:type="dxa"/>
            <w:left w:w="0" w:type="dxa"/>
            <w:bottom w:w="0" w:type="dxa"/>
            <w:right w:w="0" w:type="dxa"/>
          </w:tblCellMar>
        </w:tblPrEx>
        <w:trPr>
          <w:trHeight w:val="612" w:hRule="atLeast"/>
          <w:jc w:val="center"/>
        </w:trPr>
        <w:tc>
          <w:tcPr>
            <w:tcW w:w="1573" w:type="dxa"/>
            <w:gridSpan w:val="2"/>
            <w:tcBorders>
              <w:top w:val="nil"/>
              <w:left w:val="single" w:color="auto" w:sz="8" w:space="0"/>
              <w:bottom w:val="single" w:color="auto" w:sz="8" w:space="0"/>
              <w:right w:val="single" w:color="auto" w:sz="8" w:space="0"/>
            </w:tcBorders>
            <w:tcMar>
              <w:left w:w="108" w:type="dxa"/>
              <w:right w:w="108" w:type="dxa"/>
            </w:tcMar>
            <w:vAlign w:val="center"/>
          </w:tcPr>
          <w:p w14:paraId="0F117A33">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评分因素</w:t>
            </w:r>
          </w:p>
        </w:tc>
        <w:tc>
          <w:tcPr>
            <w:tcW w:w="6636" w:type="dxa"/>
            <w:gridSpan w:val="2"/>
            <w:tcBorders>
              <w:top w:val="nil"/>
              <w:left w:val="nil"/>
              <w:bottom w:val="single" w:color="auto" w:sz="8" w:space="0"/>
              <w:right w:val="single" w:color="auto" w:sz="8" w:space="0"/>
            </w:tcBorders>
            <w:tcMar>
              <w:left w:w="108" w:type="dxa"/>
              <w:right w:w="108" w:type="dxa"/>
            </w:tcMar>
            <w:vAlign w:val="center"/>
          </w:tcPr>
          <w:p w14:paraId="6AE272B1">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评分标准</w:t>
            </w:r>
          </w:p>
        </w:tc>
        <w:tc>
          <w:tcPr>
            <w:tcW w:w="921" w:type="dxa"/>
            <w:tcBorders>
              <w:top w:val="nil"/>
              <w:left w:val="nil"/>
              <w:bottom w:val="single" w:color="auto" w:sz="8" w:space="0"/>
              <w:right w:val="single" w:color="auto" w:sz="8" w:space="0"/>
            </w:tcBorders>
            <w:tcMar>
              <w:left w:w="108" w:type="dxa"/>
              <w:right w:w="108" w:type="dxa"/>
            </w:tcMar>
            <w:vAlign w:val="center"/>
          </w:tcPr>
          <w:p w14:paraId="1D0062E0">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分值</w:t>
            </w:r>
          </w:p>
        </w:tc>
      </w:tr>
      <w:tr w14:paraId="6D157187">
        <w:tblPrEx>
          <w:tblCellMar>
            <w:top w:w="0" w:type="dxa"/>
            <w:left w:w="0" w:type="dxa"/>
            <w:bottom w:w="0" w:type="dxa"/>
            <w:right w:w="0" w:type="dxa"/>
          </w:tblCellMar>
        </w:tblPrEx>
        <w:trPr>
          <w:trHeight w:val="1065" w:hRule="atLeast"/>
          <w:jc w:val="center"/>
        </w:trPr>
        <w:tc>
          <w:tcPr>
            <w:tcW w:w="1573" w:type="dxa"/>
            <w:gridSpan w:val="2"/>
            <w:tcBorders>
              <w:top w:val="nil"/>
              <w:left w:val="single" w:color="auto" w:sz="8" w:space="0"/>
              <w:bottom w:val="single" w:color="auto" w:sz="8" w:space="0"/>
              <w:right w:val="single" w:color="auto" w:sz="8" w:space="0"/>
            </w:tcBorders>
            <w:tcMar>
              <w:left w:w="108" w:type="dxa"/>
              <w:right w:w="108" w:type="dxa"/>
            </w:tcMar>
            <w:vAlign w:val="center"/>
          </w:tcPr>
          <w:p w14:paraId="7D622970">
            <w:pPr>
              <w:spacing w:line="360" w:lineRule="auto"/>
              <w:contextualSpacing/>
              <w:jc w:val="center"/>
              <w:rPr>
                <w:rFonts w:ascii="宋体" w:hAnsi="宋体" w:eastAsia="宋体" w:cs="仿宋_GB2312"/>
                <w:color w:val="auto"/>
                <w:szCs w:val="21"/>
                <w:highlight w:val="none"/>
                <w:lang w:val="zh-CN"/>
              </w:rPr>
            </w:pPr>
            <w:r>
              <w:rPr>
                <w:rFonts w:hint="eastAsia" w:ascii="宋体" w:hAnsi="宋体" w:eastAsia="宋体" w:cs="仿宋_GB2312"/>
                <w:color w:val="auto"/>
                <w:szCs w:val="21"/>
                <w:highlight w:val="none"/>
                <w:lang w:val="zh-CN"/>
              </w:rPr>
              <w:t>投标报价</w:t>
            </w:r>
          </w:p>
        </w:tc>
        <w:tc>
          <w:tcPr>
            <w:tcW w:w="6636" w:type="dxa"/>
            <w:gridSpan w:val="2"/>
            <w:tcBorders>
              <w:top w:val="nil"/>
              <w:left w:val="nil"/>
              <w:bottom w:val="single" w:color="auto" w:sz="8" w:space="0"/>
              <w:right w:val="single" w:color="auto" w:sz="8" w:space="0"/>
            </w:tcBorders>
            <w:tcMar>
              <w:left w:w="108" w:type="dxa"/>
              <w:right w:w="108" w:type="dxa"/>
            </w:tcMar>
            <w:vAlign w:val="center"/>
          </w:tcPr>
          <w:p w14:paraId="1D0DFAFD">
            <w:pPr>
              <w:spacing w:line="360" w:lineRule="auto"/>
              <w:contextualSpacing/>
              <w:jc w:val="both"/>
              <w:rPr>
                <w:rFonts w:ascii="宋体" w:hAnsi="宋体" w:eastAsia="宋体" w:cs="仿宋_GB2312"/>
                <w:color w:val="auto"/>
                <w:szCs w:val="21"/>
                <w:highlight w:val="none"/>
                <w:lang w:val="zh-CN"/>
              </w:rPr>
            </w:pPr>
            <w:r>
              <w:rPr>
                <w:rFonts w:hint="eastAsia" w:ascii="宋体" w:hAnsi="宋体" w:eastAsia="宋体" w:cs="仿宋_GB2312"/>
                <w:color w:val="auto"/>
                <w:szCs w:val="21"/>
                <w:highlight w:val="none"/>
                <w:lang w:val="zh-CN"/>
              </w:rPr>
              <w:t>评标基准价：满足招标文件要求的有效投标报价中，最低的投标报价为评标基准价。</w:t>
            </w:r>
          </w:p>
          <w:p w14:paraId="10260BA1">
            <w:pPr>
              <w:spacing w:line="360" w:lineRule="auto"/>
              <w:contextualSpacing/>
              <w:jc w:val="both"/>
              <w:rPr>
                <w:rFonts w:ascii="宋体" w:hAnsi="宋体" w:eastAsia="宋体" w:cs="仿宋_GB2312"/>
                <w:color w:val="auto"/>
                <w:szCs w:val="21"/>
                <w:highlight w:val="none"/>
                <w:lang w:val="zh-CN"/>
              </w:rPr>
            </w:pPr>
            <w:r>
              <w:rPr>
                <w:rFonts w:hint="eastAsia" w:ascii="宋体" w:hAnsi="宋体" w:eastAsia="宋体" w:cs="仿宋_GB2312"/>
                <w:color w:val="auto"/>
                <w:szCs w:val="21"/>
                <w:highlight w:val="none"/>
                <w:lang w:val="zh-CN"/>
              </w:rPr>
              <w:t>投标报价得分=（评标基准价/投标报价）×</w:t>
            </w:r>
            <w:r>
              <w:rPr>
                <w:rFonts w:hint="eastAsia" w:ascii="宋体" w:hAnsi="宋体" w:eastAsia="宋体" w:cs="仿宋_GB2312"/>
                <w:color w:val="auto"/>
                <w:szCs w:val="21"/>
                <w:highlight w:val="none"/>
                <w:lang w:val="en-US" w:eastAsia="zh-CN"/>
              </w:rPr>
              <w:t>3</w:t>
            </w:r>
            <w:r>
              <w:rPr>
                <w:rFonts w:hint="eastAsia" w:ascii="宋体" w:hAnsi="宋体" w:eastAsia="宋体" w:cs="仿宋_GB2312"/>
                <w:color w:val="auto"/>
                <w:szCs w:val="21"/>
                <w:highlight w:val="none"/>
                <w:lang w:val="zh-CN"/>
              </w:rPr>
              <w:t>0</w:t>
            </w:r>
          </w:p>
        </w:tc>
        <w:tc>
          <w:tcPr>
            <w:tcW w:w="921" w:type="dxa"/>
            <w:tcBorders>
              <w:top w:val="nil"/>
              <w:left w:val="nil"/>
              <w:bottom w:val="single" w:color="auto" w:sz="8" w:space="0"/>
              <w:right w:val="single" w:color="auto" w:sz="8" w:space="0"/>
            </w:tcBorders>
            <w:tcMar>
              <w:left w:w="108" w:type="dxa"/>
              <w:right w:w="108" w:type="dxa"/>
            </w:tcMar>
            <w:vAlign w:val="center"/>
          </w:tcPr>
          <w:p w14:paraId="490CDC96">
            <w:pPr>
              <w:pStyle w:val="19"/>
              <w:spacing w:line="360" w:lineRule="auto"/>
              <w:ind w:firstLine="0" w:firstLineChars="0"/>
              <w:jc w:val="center"/>
              <w:rPr>
                <w:rFonts w:ascii="宋体" w:hAnsi="宋体"/>
                <w:color w:val="auto"/>
                <w:szCs w:val="21"/>
                <w:highlight w:val="none"/>
              </w:rPr>
            </w:pPr>
            <w:r>
              <w:rPr>
                <w:rFonts w:hint="eastAsia" w:ascii="宋体" w:hAnsi="宋体" w:cs="宋体"/>
                <w:color w:val="000000" w:themeColor="text1"/>
                <w:kern w:val="2"/>
                <w:sz w:val="21"/>
                <w:szCs w:val="21"/>
                <w:highlight w:val="none"/>
                <w:lang w:val="en-US" w:eastAsia="zh-CN"/>
                <w14:textFill>
                  <w14:solidFill>
                    <w14:schemeClr w14:val="tx1"/>
                  </w14:solidFill>
                </w14:textFill>
              </w:rPr>
              <w:t>3</w:t>
            </w:r>
            <w:r>
              <w:rPr>
                <w:rFonts w:hint="eastAsia" w:ascii="宋体" w:hAnsi="宋体" w:cs="宋体"/>
                <w:color w:val="000000" w:themeColor="text1"/>
                <w:kern w:val="2"/>
                <w:sz w:val="21"/>
                <w:szCs w:val="21"/>
                <w:highlight w:val="none"/>
                <w14:textFill>
                  <w14:solidFill>
                    <w14:schemeClr w14:val="tx1"/>
                  </w14:solidFill>
                </w14:textFill>
              </w:rPr>
              <w:t>0</w:t>
            </w:r>
            <w:r>
              <w:rPr>
                <w:rFonts w:hint="eastAsia" w:ascii="宋体" w:hAnsi="宋体" w:cs="宋体"/>
                <w:color w:val="000000" w:themeColor="text1"/>
                <w:kern w:val="2"/>
                <w:sz w:val="21"/>
                <w:szCs w:val="21"/>
                <w:highlight w:val="none"/>
                <w:lang w:val="zh-CN"/>
                <w14:textFill>
                  <w14:solidFill>
                    <w14:schemeClr w14:val="tx1"/>
                  </w14:solidFill>
                </w14:textFill>
              </w:rPr>
              <w:t>分</w:t>
            </w:r>
          </w:p>
        </w:tc>
      </w:tr>
      <w:tr w14:paraId="187999E8">
        <w:tblPrEx>
          <w:tblCellMar>
            <w:top w:w="0" w:type="dxa"/>
            <w:left w:w="0" w:type="dxa"/>
            <w:bottom w:w="0" w:type="dxa"/>
            <w:right w:w="0" w:type="dxa"/>
          </w:tblCellMar>
        </w:tblPrEx>
        <w:trPr>
          <w:trHeight w:val="612" w:hRule="atLeast"/>
          <w:jc w:val="center"/>
        </w:trPr>
        <w:tc>
          <w:tcPr>
            <w:tcW w:w="9130" w:type="dxa"/>
            <w:gridSpan w:val="5"/>
            <w:tcBorders>
              <w:top w:val="nil"/>
              <w:left w:val="single" w:color="auto" w:sz="8" w:space="0"/>
              <w:bottom w:val="single" w:color="auto" w:sz="8" w:space="0"/>
              <w:right w:val="single" w:color="auto" w:sz="8" w:space="0"/>
            </w:tcBorders>
            <w:tcMar>
              <w:left w:w="108" w:type="dxa"/>
              <w:right w:w="108" w:type="dxa"/>
            </w:tcMar>
            <w:vAlign w:val="center"/>
          </w:tcPr>
          <w:p w14:paraId="34F53A22">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二、商务部分（满分</w:t>
            </w:r>
            <w:r>
              <w:rPr>
                <w:rFonts w:hint="eastAsia" w:ascii="宋体" w:hAnsi="宋体"/>
                <w:b/>
                <w:color w:val="auto"/>
                <w:szCs w:val="21"/>
                <w:highlight w:val="none"/>
                <w:lang w:val="en-US" w:eastAsia="zh-CN"/>
              </w:rPr>
              <w:t>25</w:t>
            </w:r>
            <w:r>
              <w:rPr>
                <w:rFonts w:hint="eastAsia" w:ascii="宋体" w:hAnsi="宋体"/>
                <w:b/>
                <w:color w:val="auto"/>
                <w:szCs w:val="21"/>
                <w:highlight w:val="none"/>
              </w:rPr>
              <w:t>分）</w:t>
            </w:r>
          </w:p>
        </w:tc>
      </w:tr>
      <w:tr w14:paraId="7A47ABD3">
        <w:tblPrEx>
          <w:tblCellMar>
            <w:top w:w="0" w:type="dxa"/>
            <w:left w:w="0" w:type="dxa"/>
            <w:bottom w:w="0" w:type="dxa"/>
            <w:right w:w="0" w:type="dxa"/>
          </w:tblCellMar>
        </w:tblPrEx>
        <w:trPr>
          <w:trHeight w:val="612" w:hRule="atLeast"/>
          <w:jc w:val="center"/>
        </w:trPr>
        <w:tc>
          <w:tcPr>
            <w:tcW w:w="1573" w:type="dxa"/>
            <w:gridSpan w:val="2"/>
            <w:tcBorders>
              <w:top w:val="nil"/>
              <w:left w:val="single" w:color="auto" w:sz="8" w:space="0"/>
              <w:bottom w:val="single" w:color="auto" w:sz="8" w:space="0"/>
              <w:right w:val="single" w:color="auto" w:sz="8" w:space="0"/>
            </w:tcBorders>
            <w:tcMar>
              <w:left w:w="108" w:type="dxa"/>
              <w:right w:w="108" w:type="dxa"/>
            </w:tcMar>
            <w:vAlign w:val="center"/>
          </w:tcPr>
          <w:p w14:paraId="7AF6E47E">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评分因素</w:t>
            </w:r>
          </w:p>
        </w:tc>
        <w:tc>
          <w:tcPr>
            <w:tcW w:w="6636" w:type="dxa"/>
            <w:gridSpan w:val="2"/>
            <w:tcBorders>
              <w:top w:val="nil"/>
              <w:left w:val="nil"/>
              <w:bottom w:val="single" w:color="auto" w:sz="8" w:space="0"/>
              <w:right w:val="single" w:color="auto" w:sz="8" w:space="0"/>
            </w:tcBorders>
            <w:tcMar>
              <w:left w:w="108" w:type="dxa"/>
              <w:right w:w="108" w:type="dxa"/>
            </w:tcMar>
            <w:vAlign w:val="center"/>
          </w:tcPr>
          <w:p w14:paraId="3FC09EC2">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评分标准</w:t>
            </w:r>
          </w:p>
        </w:tc>
        <w:tc>
          <w:tcPr>
            <w:tcW w:w="921" w:type="dxa"/>
            <w:tcBorders>
              <w:top w:val="nil"/>
              <w:left w:val="nil"/>
              <w:bottom w:val="single" w:color="auto" w:sz="8" w:space="0"/>
              <w:right w:val="single" w:color="auto" w:sz="8" w:space="0"/>
            </w:tcBorders>
            <w:tcMar>
              <w:left w:w="108" w:type="dxa"/>
              <w:right w:w="108" w:type="dxa"/>
            </w:tcMar>
            <w:vAlign w:val="center"/>
          </w:tcPr>
          <w:p w14:paraId="72EBD154">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分值</w:t>
            </w:r>
          </w:p>
        </w:tc>
      </w:tr>
      <w:tr w14:paraId="602F6A43">
        <w:tblPrEx>
          <w:tblCellMar>
            <w:top w:w="0" w:type="dxa"/>
            <w:left w:w="0" w:type="dxa"/>
            <w:bottom w:w="0" w:type="dxa"/>
            <w:right w:w="0" w:type="dxa"/>
          </w:tblCellMar>
        </w:tblPrEx>
        <w:trPr>
          <w:trHeight w:val="792" w:hRule="atLeast"/>
          <w:jc w:val="center"/>
        </w:trPr>
        <w:tc>
          <w:tcPr>
            <w:tcW w:w="1573" w:type="dxa"/>
            <w:gridSpan w:val="2"/>
            <w:tcBorders>
              <w:top w:val="nil"/>
              <w:left w:val="single" w:color="auto" w:sz="8" w:space="0"/>
              <w:bottom w:val="single" w:color="auto" w:sz="8" w:space="0"/>
              <w:right w:val="single" w:color="auto" w:sz="8" w:space="0"/>
            </w:tcBorders>
            <w:tcMar>
              <w:left w:w="108" w:type="dxa"/>
              <w:right w:w="108" w:type="dxa"/>
            </w:tcMar>
            <w:vAlign w:val="center"/>
          </w:tcPr>
          <w:p w14:paraId="5D2FC560">
            <w:pPr>
              <w:widowControl/>
              <w:kinsoku w:val="0"/>
              <w:adjustRightInd w:val="0"/>
              <w:snapToGrid w:val="0"/>
              <w:jc w:val="center"/>
              <w:textAlignment w:val="baseline"/>
              <w:rPr>
                <w:rFonts w:ascii="宋体" w:hAnsi="宋体"/>
                <w:snapToGrid w:val="0"/>
                <w:color w:val="auto"/>
                <w:szCs w:val="21"/>
                <w:highlight w:val="none"/>
              </w:rPr>
            </w:pPr>
            <w:r>
              <w:rPr>
                <w:rFonts w:hint="eastAsia" w:ascii="宋体" w:hAnsi="宋体"/>
                <w:snapToGrid w:val="0"/>
                <w:color w:val="auto"/>
                <w:szCs w:val="21"/>
                <w:highlight w:val="none"/>
              </w:rPr>
              <w:t>企业业绩</w:t>
            </w:r>
          </w:p>
        </w:tc>
        <w:tc>
          <w:tcPr>
            <w:tcW w:w="6636" w:type="dxa"/>
            <w:gridSpan w:val="2"/>
            <w:tcBorders>
              <w:top w:val="nil"/>
              <w:left w:val="nil"/>
              <w:bottom w:val="single" w:color="auto" w:sz="8" w:space="0"/>
              <w:right w:val="single" w:color="auto" w:sz="8" w:space="0"/>
            </w:tcBorders>
            <w:tcMar>
              <w:left w:w="108" w:type="dxa"/>
              <w:right w:w="108" w:type="dxa"/>
            </w:tcMar>
            <w:vAlign w:val="center"/>
          </w:tcPr>
          <w:p w14:paraId="1F400572">
            <w:pPr>
              <w:pStyle w:val="41"/>
              <w:rPr>
                <w:rFonts w:hint="eastAsia" w:ascii="宋体" w:hAnsi="宋体" w:eastAsia="宋体" w:cs="宋体"/>
                <w:snapToGrid w:val="0"/>
                <w:color w:val="auto"/>
                <w:kern w:val="2"/>
                <w:sz w:val="21"/>
                <w:szCs w:val="21"/>
                <w:highlight w:val="none"/>
                <w:lang w:val="en-US" w:eastAsia="zh-CN" w:bidi="ar-SA"/>
              </w:rPr>
            </w:pPr>
            <w:r>
              <w:rPr>
                <w:rFonts w:hint="eastAsia" w:ascii="宋体" w:hAnsi="宋体" w:eastAsia="宋体" w:cs="宋体"/>
                <w:snapToGrid w:val="0"/>
                <w:color w:val="auto"/>
                <w:kern w:val="2"/>
                <w:sz w:val="21"/>
                <w:szCs w:val="21"/>
                <w:highlight w:val="none"/>
                <w:lang w:val="en-US" w:eastAsia="zh-CN" w:bidi="ar-SA"/>
              </w:rPr>
              <w:t>自20</w:t>
            </w:r>
            <w:r>
              <w:rPr>
                <w:rFonts w:hint="eastAsia" w:hAnsi="宋体" w:cs="宋体"/>
                <w:snapToGrid w:val="0"/>
                <w:color w:val="auto"/>
                <w:kern w:val="2"/>
                <w:sz w:val="21"/>
                <w:szCs w:val="21"/>
                <w:highlight w:val="none"/>
                <w:lang w:val="en-US" w:eastAsia="zh-CN" w:bidi="ar-SA"/>
              </w:rPr>
              <w:t>21</w:t>
            </w:r>
            <w:r>
              <w:rPr>
                <w:rFonts w:hint="eastAsia" w:ascii="宋体" w:hAnsi="宋体" w:eastAsia="宋体" w:cs="宋体"/>
                <w:snapToGrid w:val="0"/>
                <w:color w:val="auto"/>
                <w:kern w:val="2"/>
                <w:sz w:val="21"/>
                <w:szCs w:val="21"/>
                <w:highlight w:val="none"/>
                <w:lang w:val="en-US" w:eastAsia="zh-CN" w:bidi="ar-SA"/>
              </w:rPr>
              <w:t>年1月1日以来，投标人承担过类似项目业绩的，每具有一个项目业绩得</w:t>
            </w:r>
            <w:r>
              <w:rPr>
                <w:rFonts w:hint="eastAsia" w:hAnsi="宋体" w:cs="宋体"/>
                <w:snapToGrid w:val="0"/>
                <w:color w:val="auto"/>
                <w:kern w:val="2"/>
                <w:sz w:val="21"/>
                <w:szCs w:val="21"/>
                <w:highlight w:val="none"/>
                <w:lang w:val="en-US" w:eastAsia="zh-CN" w:bidi="ar-SA"/>
              </w:rPr>
              <w:t>5</w:t>
            </w:r>
            <w:r>
              <w:rPr>
                <w:rFonts w:hint="eastAsia" w:ascii="宋体" w:hAnsi="宋体" w:eastAsia="宋体" w:cs="宋体"/>
                <w:snapToGrid w:val="0"/>
                <w:color w:val="auto"/>
                <w:kern w:val="2"/>
                <w:sz w:val="21"/>
                <w:szCs w:val="21"/>
                <w:highlight w:val="none"/>
                <w:lang w:val="en-US" w:eastAsia="zh-CN" w:bidi="ar-SA"/>
              </w:rPr>
              <w:t>分，最高得</w:t>
            </w:r>
            <w:r>
              <w:rPr>
                <w:rFonts w:hint="eastAsia" w:hAnsi="宋体" w:cs="宋体"/>
                <w:snapToGrid w:val="0"/>
                <w:color w:val="auto"/>
                <w:kern w:val="2"/>
                <w:sz w:val="21"/>
                <w:szCs w:val="21"/>
                <w:highlight w:val="none"/>
                <w:lang w:val="en-US" w:eastAsia="zh-CN" w:bidi="ar-SA"/>
              </w:rPr>
              <w:t>20</w:t>
            </w:r>
            <w:r>
              <w:rPr>
                <w:rFonts w:hint="eastAsia" w:ascii="宋体" w:hAnsi="宋体" w:eastAsia="宋体" w:cs="宋体"/>
                <w:snapToGrid w:val="0"/>
                <w:color w:val="auto"/>
                <w:kern w:val="2"/>
                <w:sz w:val="21"/>
                <w:szCs w:val="21"/>
                <w:highlight w:val="none"/>
                <w:lang w:val="en-US" w:eastAsia="zh-CN" w:bidi="ar-SA"/>
              </w:rPr>
              <w:t>分；（以合同为准）。</w:t>
            </w:r>
          </w:p>
        </w:tc>
        <w:tc>
          <w:tcPr>
            <w:tcW w:w="921" w:type="dxa"/>
            <w:tcBorders>
              <w:top w:val="nil"/>
              <w:left w:val="nil"/>
              <w:bottom w:val="single" w:color="auto" w:sz="8" w:space="0"/>
              <w:right w:val="single" w:color="auto" w:sz="8" w:space="0"/>
            </w:tcBorders>
            <w:tcMar>
              <w:left w:w="108" w:type="dxa"/>
              <w:right w:w="108" w:type="dxa"/>
            </w:tcMar>
            <w:vAlign w:val="center"/>
          </w:tcPr>
          <w:p w14:paraId="73C53ADE">
            <w:pPr>
              <w:widowControl/>
              <w:spacing w:line="330" w:lineRule="atLeast"/>
              <w:jc w:val="center"/>
              <w:rPr>
                <w:rFonts w:ascii="宋体" w:hAnsi="宋体"/>
                <w:b/>
                <w:color w:val="auto"/>
                <w:szCs w:val="21"/>
                <w:highlight w:val="none"/>
              </w:rPr>
            </w:pPr>
            <w:r>
              <w:rPr>
                <w:rFonts w:hint="eastAsia" w:ascii="宋体" w:hAnsi="宋体"/>
                <w:b/>
                <w:color w:val="auto"/>
                <w:szCs w:val="21"/>
                <w:highlight w:val="none"/>
                <w:lang w:val="en-US" w:eastAsia="zh-CN"/>
              </w:rPr>
              <w:t>20</w:t>
            </w:r>
            <w:r>
              <w:rPr>
                <w:rFonts w:hint="eastAsia" w:ascii="宋体" w:hAnsi="宋体"/>
                <w:b/>
                <w:color w:val="auto"/>
                <w:szCs w:val="21"/>
                <w:highlight w:val="none"/>
              </w:rPr>
              <w:t>分</w:t>
            </w:r>
          </w:p>
        </w:tc>
      </w:tr>
      <w:tr w14:paraId="4FDC943E">
        <w:tblPrEx>
          <w:tblCellMar>
            <w:top w:w="0" w:type="dxa"/>
            <w:left w:w="0" w:type="dxa"/>
            <w:bottom w:w="0" w:type="dxa"/>
            <w:right w:w="0" w:type="dxa"/>
          </w:tblCellMar>
        </w:tblPrEx>
        <w:trPr>
          <w:trHeight w:val="844" w:hRule="atLeast"/>
          <w:jc w:val="center"/>
        </w:trPr>
        <w:tc>
          <w:tcPr>
            <w:tcW w:w="1573" w:type="dxa"/>
            <w:gridSpan w:val="2"/>
            <w:tcBorders>
              <w:top w:val="nil"/>
              <w:left w:val="single" w:color="auto" w:sz="8" w:space="0"/>
              <w:bottom w:val="single" w:color="auto" w:sz="8" w:space="0"/>
              <w:right w:val="single" w:color="auto" w:sz="8" w:space="0"/>
            </w:tcBorders>
            <w:tcMar>
              <w:left w:w="108" w:type="dxa"/>
              <w:right w:w="108" w:type="dxa"/>
            </w:tcMar>
            <w:vAlign w:val="center"/>
          </w:tcPr>
          <w:p w14:paraId="62F61615">
            <w:pPr>
              <w:widowControl/>
              <w:kinsoku w:val="0"/>
              <w:adjustRightInd w:val="0"/>
              <w:snapToGrid w:val="0"/>
              <w:jc w:val="center"/>
              <w:textAlignment w:val="baseline"/>
              <w:rPr>
                <w:rFonts w:hint="default" w:ascii="宋体" w:hAnsi="宋体"/>
                <w:snapToGrid w:val="0"/>
                <w:color w:val="auto"/>
                <w:szCs w:val="21"/>
                <w:highlight w:val="none"/>
                <w:lang w:val="en-US" w:eastAsia="zh-CN"/>
              </w:rPr>
            </w:pPr>
            <w:r>
              <w:rPr>
                <w:rFonts w:hint="eastAsia" w:ascii="宋体" w:hAnsi="宋体"/>
                <w:snapToGrid w:val="0"/>
                <w:color w:val="auto"/>
                <w:szCs w:val="21"/>
                <w:highlight w:val="none"/>
                <w:lang w:val="en-US" w:eastAsia="zh-CN"/>
              </w:rPr>
              <w:t>企业实力</w:t>
            </w:r>
          </w:p>
        </w:tc>
        <w:tc>
          <w:tcPr>
            <w:tcW w:w="6636" w:type="dxa"/>
            <w:gridSpan w:val="2"/>
            <w:tcBorders>
              <w:top w:val="nil"/>
              <w:left w:val="nil"/>
              <w:bottom w:val="single" w:color="auto" w:sz="8" w:space="0"/>
              <w:right w:val="single" w:color="auto" w:sz="8" w:space="0"/>
            </w:tcBorders>
            <w:tcMar>
              <w:left w:w="108" w:type="dxa"/>
              <w:right w:w="108" w:type="dxa"/>
            </w:tcMar>
            <w:vAlign w:val="center"/>
          </w:tcPr>
          <w:p w14:paraId="6AC426BA">
            <w:pPr>
              <w:widowControl/>
              <w:kinsoku w:val="0"/>
              <w:adjustRightInd w:val="0"/>
              <w:snapToGrid w:val="0"/>
              <w:jc w:val="left"/>
              <w:textAlignment w:val="baseline"/>
              <w:rPr>
                <w:rFonts w:hint="default" w:ascii="宋体" w:hAnsi="宋体"/>
                <w:snapToGrid w:val="0"/>
                <w:color w:val="auto"/>
                <w:szCs w:val="21"/>
                <w:highlight w:val="none"/>
                <w:lang w:val="en-US" w:eastAsia="zh-CN"/>
              </w:rPr>
            </w:pPr>
            <w:bookmarkStart w:id="15" w:name="OLE_LINK15"/>
            <w:r>
              <w:rPr>
                <w:rFonts w:hint="eastAsia" w:ascii="宋体" w:hAnsi="宋体"/>
                <w:snapToGrid w:val="0"/>
                <w:color w:val="auto"/>
                <w:szCs w:val="21"/>
                <w:highlight w:val="none"/>
                <w:lang w:val="en-US" w:eastAsia="zh-CN"/>
              </w:rPr>
              <w:t>1、所投产品</w:t>
            </w:r>
            <w:r>
              <w:rPr>
                <w:rFonts w:hint="eastAsia" w:ascii="宋体" w:hAnsi="宋体" w:cs="仿宋"/>
                <w:szCs w:val="21"/>
                <w:highlight w:val="none"/>
              </w:rPr>
              <w:t>提供国家认证认可监督管理委员会认可的机构出具的</w:t>
            </w:r>
            <w:r>
              <w:rPr>
                <w:rFonts w:hint="eastAsia" w:ascii="宋体" w:hAnsi="宋体" w:cs="仿宋"/>
                <w:szCs w:val="21"/>
                <w:highlight w:val="none"/>
                <w:lang w:val="en-US" w:eastAsia="zh-CN"/>
              </w:rPr>
              <w:t>检测</w:t>
            </w:r>
            <w:r>
              <w:rPr>
                <w:rFonts w:hint="eastAsia" w:ascii="宋体" w:hAnsi="宋体" w:cs="仿宋"/>
                <w:szCs w:val="21"/>
                <w:highlight w:val="none"/>
              </w:rPr>
              <w:t>报告</w:t>
            </w:r>
            <w:r>
              <w:rPr>
                <w:rFonts w:hint="eastAsia" w:ascii="宋体" w:hAnsi="宋体"/>
                <w:snapToGrid w:val="0"/>
                <w:color w:val="auto"/>
                <w:szCs w:val="21"/>
                <w:highlight w:val="none"/>
                <w:lang w:val="en-US" w:eastAsia="zh-CN"/>
              </w:rPr>
              <w:t>的得2分；</w:t>
            </w:r>
          </w:p>
          <w:bookmarkEnd w:id="15"/>
          <w:p w14:paraId="09EC2020">
            <w:pPr>
              <w:widowControl/>
              <w:kinsoku w:val="0"/>
              <w:adjustRightInd w:val="0"/>
              <w:snapToGrid w:val="0"/>
              <w:jc w:val="left"/>
              <w:textAlignment w:val="baseline"/>
              <w:rPr>
                <w:rFonts w:hint="eastAsia" w:ascii="宋体" w:hAnsi="宋体"/>
                <w:snapToGrid w:val="0"/>
                <w:color w:val="auto"/>
                <w:szCs w:val="21"/>
                <w:highlight w:val="none"/>
                <w:lang w:val="en-US" w:eastAsia="zh-CN"/>
              </w:rPr>
            </w:pPr>
            <w:r>
              <w:rPr>
                <w:rFonts w:hint="eastAsia" w:ascii="宋体" w:hAnsi="宋体"/>
                <w:snapToGrid w:val="0"/>
                <w:color w:val="auto"/>
                <w:szCs w:val="21"/>
                <w:highlight w:val="none"/>
                <w:lang w:val="en-US" w:eastAsia="zh-CN"/>
              </w:rPr>
              <w:t>2</w:t>
            </w:r>
            <w:bookmarkStart w:id="16" w:name="OLE_LINK13"/>
            <w:r>
              <w:rPr>
                <w:rFonts w:hint="eastAsia" w:ascii="宋体" w:hAnsi="宋体"/>
                <w:snapToGrid w:val="0"/>
                <w:color w:val="auto"/>
                <w:szCs w:val="21"/>
                <w:highlight w:val="none"/>
                <w:lang w:val="en-US" w:eastAsia="zh-CN"/>
              </w:rPr>
              <w:t>、</w:t>
            </w:r>
            <w:bookmarkEnd w:id="16"/>
            <w:bookmarkStart w:id="17" w:name="OLE_LINK14"/>
            <w:bookmarkStart w:id="18" w:name="OLE_LINK18"/>
            <w:r>
              <w:rPr>
                <w:rFonts w:hint="eastAsia" w:ascii="宋体" w:hAnsi="宋体"/>
                <w:snapToGrid w:val="0"/>
                <w:color w:val="auto"/>
                <w:szCs w:val="21"/>
                <w:highlight w:val="none"/>
                <w:lang w:val="en-US" w:eastAsia="zh-CN"/>
              </w:rPr>
              <w:t>所投产品具有</w:t>
            </w:r>
            <w:bookmarkEnd w:id="17"/>
            <w:r>
              <w:rPr>
                <w:rFonts w:hint="eastAsia" w:ascii="宋体" w:hAnsi="宋体"/>
                <w:snapToGrid w:val="0"/>
                <w:color w:val="auto"/>
                <w:szCs w:val="21"/>
                <w:highlight w:val="none"/>
                <w:lang w:val="en-US" w:eastAsia="zh-CN"/>
              </w:rPr>
              <w:t>国家认定的认证机构出具的、处于有效期内</w:t>
            </w:r>
            <w:bookmarkEnd w:id="18"/>
            <w:bookmarkStart w:id="19" w:name="OLE_LINK17"/>
            <w:r>
              <w:rPr>
                <w:rFonts w:hint="eastAsia" w:ascii="宋体" w:hAnsi="宋体"/>
                <w:snapToGrid w:val="0"/>
                <w:color w:val="auto"/>
                <w:szCs w:val="21"/>
                <w:highlight w:val="none"/>
                <w:lang w:val="en-US" w:eastAsia="zh-CN"/>
              </w:rPr>
              <w:t>节能产品认证证书</w:t>
            </w:r>
            <w:bookmarkEnd w:id="19"/>
            <w:r>
              <w:rPr>
                <w:rFonts w:hint="eastAsia" w:ascii="宋体" w:hAnsi="宋体"/>
                <w:snapToGrid w:val="0"/>
                <w:color w:val="auto"/>
                <w:szCs w:val="21"/>
                <w:highlight w:val="none"/>
                <w:lang w:val="en-US" w:eastAsia="zh-CN"/>
              </w:rPr>
              <w:t>的得2分；</w:t>
            </w:r>
          </w:p>
          <w:p w14:paraId="73FD10AA">
            <w:pPr>
              <w:widowControl/>
              <w:kinsoku w:val="0"/>
              <w:adjustRightInd w:val="0"/>
              <w:snapToGrid w:val="0"/>
              <w:jc w:val="left"/>
              <w:textAlignment w:val="baseline"/>
              <w:rPr>
                <w:rFonts w:hint="default" w:ascii="宋体" w:hAnsi="宋体"/>
                <w:snapToGrid w:val="0"/>
                <w:color w:val="auto"/>
                <w:szCs w:val="21"/>
                <w:highlight w:val="none"/>
                <w:lang w:val="en-US"/>
              </w:rPr>
            </w:pPr>
            <w:r>
              <w:rPr>
                <w:rFonts w:hint="eastAsia" w:ascii="宋体" w:hAnsi="宋体"/>
                <w:snapToGrid w:val="0"/>
                <w:color w:val="auto"/>
                <w:szCs w:val="21"/>
                <w:highlight w:val="none"/>
                <w:lang w:val="en-US" w:eastAsia="zh-CN"/>
              </w:rPr>
              <w:t>3、所投产品具有国家认定的认证机构出具的、处于有效期内环保产品认证证书的得1分。</w:t>
            </w:r>
          </w:p>
        </w:tc>
        <w:tc>
          <w:tcPr>
            <w:tcW w:w="921" w:type="dxa"/>
            <w:tcBorders>
              <w:top w:val="nil"/>
              <w:left w:val="nil"/>
              <w:bottom w:val="single" w:color="auto" w:sz="8" w:space="0"/>
              <w:right w:val="single" w:color="auto" w:sz="8" w:space="0"/>
            </w:tcBorders>
            <w:tcMar>
              <w:left w:w="108" w:type="dxa"/>
              <w:right w:w="108" w:type="dxa"/>
            </w:tcMar>
            <w:vAlign w:val="center"/>
          </w:tcPr>
          <w:p w14:paraId="224FCE52">
            <w:pPr>
              <w:widowControl/>
              <w:spacing w:line="330" w:lineRule="atLeast"/>
              <w:jc w:val="center"/>
              <w:rPr>
                <w:rFonts w:ascii="宋体" w:hAnsi="宋体"/>
                <w:b/>
                <w:color w:val="auto"/>
                <w:szCs w:val="21"/>
                <w:highlight w:val="none"/>
              </w:rPr>
            </w:pPr>
            <w:r>
              <w:rPr>
                <w:rFonts w:hint="eastAsia" w:ascii="宋体" w:hAnsi="宋体"/>
                <w:b/>
                <w:color w:val="auto"/>
                <w:szCs w:val="21"/>
                <w:highlight w:val="none"/>
                <w:lang w:val="en-US" w:eastAsia="zh-CN"/>
              </w:rPr>
              <w:t>5</w:t>
            </w:r>
            <w:r>
              <w:rPr>
                <w:rFonts w:hint="eastAsia" w:ascii="宋体" w:hAnsi="宋体"/>
                <w:b/>
                <w:color w:val="auto"/>
                <w:szCs w:val="21"/>
                <w:highlight w:val="none"/>
              </w:rPr>
              <w:t>分</w:t>
            </w:r>
          </w:p>
        </w:tc>
      </w:tr>
      <w:tr w14:paraId="2C8BF3B6">
        <w:tblPrEx>
          <w:tblCellMar>
            <w:top w:w="0" w:type="dxa"/>
            <w:left w:w="0" w:type="dxa"/>
            <w:bottom w:w="0" w:type="dxa"/>
            <w:right w:w="0" w:type="dxa"/>
          </w:tblCellMar>
        </w:tblPrEx>
        <w:trPr>
          <w:trHeight w:val="644" w:hRule="atLeast"/>
          <w:jc w:val="center"/>
        </w:trPr>
        <w:tc>
          <w:tcPr>
            <w:tcW w:w="9130" w:type="dxa"/>
            <w:gridSpan w:val="5"/>
            <w:tcBorders>
              <w:top w:val="single" w:color="auto" w:sz="4" w:space="0"/>
              <w:left w:val="single" w:color="auto" w:sz="8" w:space="0"/>
              <w:bottom w:val="single" w:color="auto" w:sz="4" w:space="0"/>
              <w:right w:val="single" w:color="auto" w:sz="8" w:space="0"/>
            </w:tcBorders>
            <w:tcMar>
              <w:left w:w="108" w:type="dxa"/>
              <w:right w:w="108" w:type="dxa"/>
            </w:tcMar>
            <w:vAlign w:val="center"/>
          </w:tcPr>
          <w:p w14:paraId="259FB54F">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三、技术部分（满分</w:t>
            </w:r>
            <w:r>
              <w:rPr>
                <w:rFonts w:hint="eastAsia" w:ascii="宋体" w:hAnsi="宋体"/>
                <w:b/>
                <w:color w:val="auto"/>
                <w:szCs w:val="21"/>
                <w:highlight w:val="none"/>
                <w:lang w:val="en-US" w:eastAsia="zh-CN"/>
              </w:rPr>
              <w:t>45</w:t>
            </w:r>
            <w:r>
              <w:rPr>
                <w:rFonts w:hint="eastAsia" w:ascii="宋体" w:hAnsi="宋体"/>
                <w:b/>
                <w:color w:val="auto"/>
                <w:szCs w:val="21"/>
                <w:highlight w:val="none"/>
              </w:rPr>
              <w:t>分）</w:t>
            </w:r>
          </w:p>
        </w:tc>
      </w:tr>
      <w:tr w14:paraId="0C73DAC2">
        <w:tblPrEx>
          <w:tblCellMar>
            <w:top w:w="0" w:type="dxa"/>
            <w:left w:w="0" w:type="dxa"/>
            <w:bottom w:w="0" w:type="dxa"/>
            <w:right w:w="0" w:type="dxa"/>
          </w:tblCellMar>
        </w:tblPrEx>
        <w:trPr>
          <w:trHeight w:val="576" w:hRule="atLeast"/>
          <w:jc w:val="center"/>
        </w:trPr>
        <w:tc>
          <w:tcPr>
            <w:tcW w:w="1595" w:type="dxa"/>
            <w:gridSpan w:val="3"/>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22C5438C">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评分因素</w:t>
            </w:r>
          </w:p>
        </w:tc>
        <w:tc>
          <w:tcPr>
            <w:tcW w:w="6614"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028A82C2">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 xml:space="preserve">评分标准 </w:t>
            </w:r>
          </w:p>
        </w:tc>
        <w:tc>
          <w:tcPr>
            <w:tcW w:w="921"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797752B3">
            <w:pPr>
              <w:widowControl/>
              <w:spacing w:line="330" w:lineRule="atLeast"/>
              <w:jc w:val="center"/>
              <w:rPr>
                <w:rFonts w:ascii="宋体" w:hAnsi="宋体"/>
                <w:color w:val="auto"/>
                <w:szCs w:val="21"/>
                <w:highlight w:val="none"/>
              </w:rPr>
            </w:pPr>
            <w:r>
              <w:rPr>
                <w:rFonts w:hint="eastAsia" w:ascii="宋体" w:hAnsi="宋体"/>
                <w:b/>
                <w:color w:val="auto"/>
                <w:szCs w:val="21"/>
                <w:highlight w:val="none"/>
              </w:rPr>
              <w:t>分值</w:t>
            </w:r>
          </w:p>
        </w:tc>
      </w:tr>
      <w:tr w14:paraId="75C1A103">
        <w:tblPrEx>
          <w:tblCellMar>
            <w:top w:w="0" w:type="dxa"/>
            <w:left w:w="0" w:type="dxa"/>
            <w:bottom w:w="0" w:type="dxa"/>
            <w:right w:w="0" w:type="dxa"/>
          </w:tblCellMar>
        </w:tblPrEx>
        <w:trPr>
          <w:trHeight w:val="90" w:hRule="atLeast"/>
          <w:jc w:val="center"/>
        </w:trPr>
        <w:tc>
          <w:tcPr>
            <w:tcW w:w="1595" w:type="dxa"/>
            <w:gridSpan w:val="3"/>
            <w:tcBorders>
              <w:top w:val="single" w:color="auto" w:sz="4" w:space="0"/>
              <w:left w:val="single" w:color="auto" w:sz="8" w:space="0"/>
              <w:bottom w:val="single" w:color="auto" w:sz="4" w:space="0"/>
              <w:right w:val="single" w:color="auto" w:sz="8" w:space="0"/>
            </w:tcBorders>
            <w:tcMar>
              <w:left w:w="108" w:type="dxa"/>
              <w:right w:w="108" w:type="dxa"/>
            </w:tcMar>
            <w:vAlign w:val="center"/>
          </w:tcPr>
          <w:p w14:paraId="2BCF8D70">
            <w:pPr>
              <w:widowControl/>
              <w:kinsoku w:val="0"/>
              <w:adjustRightInd w:val="0"/>
              <w:snapToGrid w:val="0"/>
              <w:jc w:val="center"/>
              <w:textAlignment w:val="baseline"/>
              <w:rPr>
                <w:rFonts w:hint="eastAsia"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技术方案</w:t>
            </w:r>
          </w:p>
        </w:tc>
        <w:tc>
          <w:tcPr>
            <w:tcW w:w="6614" w:type="dxa"/>
            <w:tcBorders>
              <w:top w:val="single" w:color="auto" w:sz="4" w:space="0"/>
              <w:left w:val="nil"/>
              <w:bottom w:val="single" w:color="auto" w:sz="4" w:space="0"/>
              <w:right w:val="single" w:color="auto" w:sz="8" w:space="0"/>
            </w:tcBorders>
            <w:tcMar>
              <w:left w:w="108" w:type="dxa"/>
              <w:right w:w="108" w:type="dxa"/>
            </w:tcMar>
            <w:vAlign w:val="center"/>
          </w:tcPr>
          <w:p w14:paraId="34AF1DE2">
            <w:pPr>
              <w:pStyle w:val="19"/>
              <w:spacing w:line="360" w:lineRule="auto"/>
              <w:ind w:firstLine="0"/>
              <w:jc w:val="left"/>
              <w:rPr>
                <w:rFonts w:hint="eastAsia" w:ascii="宋体" w:hAnsi="宋体" w:eastAsia="宋体" w:cs="宋体"/>
                <w:snapToGrid w:val="0"/>
                <w:color w:val="auto"/>
                <w:kern w:val="2"/>
                <w:sz w:val="21"/>
                <w:szCs w:val="21"/>
                <w:highlight w:val="none"/>
                <w:lang w:val="zh-CN" w:eastAsia="zh-CN" w:bidi="ar-SA"/>
              </w:rPr>
            </w:pPr>
            <w:r>
              <w:rPr>
                <w:rFonts w:hint="eastAsia" w:ascii="宋体" w:hAnsi="宋体" w:cs="宋体"/>
                <w:color w:val="auto"/>
                <w:kern w:val="2"/>
                <w:sz w:val="21"/>
                <w:szCs w:val="21"/>
                <w:highlight w:val="none"/>
                <w:lang w:val="zh-CN"/>
              </w:rPr>
              <w:t>1</w:t>
            </w:r>
            <w:r>
              <w:rPr>
                <w:rFonts w:hint="eastAsia" w:ascii="宋体" w:hAnsi="宋体" w:eastAsia="宋体" w:cs="宋体"/>
                <w:snapToGrid w:val="0"/>
                <w:color w:val="auto"/>
                <w:kern w:val="2"/>
                <w:sz w:val="21"/>
                <w:szCs w:val="21"/>
                <w:highlight w:val="none"/>
                <w:lang w:val="zh-CN" w:eastAsia="zh-CN" w:bidi="ar-SA"/>
              </w:rPr>
              <w:t>、</w:t>
            </w:r>
            <w:r>
              <w:rPr>
                <w:rFonts w:hint="eastAsia" w:ascii="宋体" w:hAnsi="宋体" w:eastAsia="宋体" w:cs="宋体"/>
                <w:snapToGrid w:val="0"/>
                <w:color w:val="auto"/>
                <w:kern w:val="2"/>
                <w:sz w:val="21"/>
                <w:szCs w:val="21"/>
                <w:highlight w:val="none"/>
                <w:lang w:val="en-US" w:eastAsia="zh-CN" w:bidi="ar-SA"/>
              </w:rPr>
              <w:t>提供针对本项目的</w:t>
            </w:r>
            <w:r>
              <w:rPr>
                <w:rFonts w:hint="eastAsia" w:ascii="宋体" w:hAnsi="宋体" w:cs="宋体"/>
                <w:snapToGrid w:val="0"/>
                <w:color w:val="auto"/>
                <w:kern w:val="2"/>
                <w:sz w:val="21"/>
                <w:szCs w:val="21"/>
                <w:highlight w:val="none"/>
                <w:lang w:val="zh-CN" w:eastAsia="zh-CN" w:bidi="ar-SA"/>
              </w:rPr>
              <w:t>总体建设方案</w:t>
            </w:r>
            <w:r>
              <w:rPr>
                <w:rFonts w:hint="eastAsia" w:ascii="宋体" w:hAnsi="宋体" w:cs="宋体"/>
                <w:snapToGrid w:val="0"/>
                <w:color w:val="auto"/>
                <w:kern w:val="2"/>
                <w:sz w:val="21"/>
                <w:szCs w:val="21"/>
                <w:highlight w:val="none"/>
                <w:lang w:val="en-US" w:eastAsia="zh-CN" w:bidi="ar-SA"/>
              </w:rPr>
              <w:t>进行描述</w:t>
            </w:r>
            <w:r>
              <w:rPr>
                <w:rFonts w:hint="eastAsia" w:ascii="宋体" w:hAnsi="宋体" w:eastAsia="宋体" w:cs="宋体"/>
                <w:snapToGrid w:val="0"/>
                <w:color w:val="auto"/>
                <w:kern w:val="2"/>
                <w:sz w:val="21"/>
                <w:szCs w:val="21"/>
                <w:highlight w:val="none"/>
                <w:lang w:val="zh-CN" w:eastAsia="zh-CN" w:bidi="ar-SA"/>
              </w:rPr>
              <w:t>，根据方案内容的完整性、可行性、对招标文件需求响应程度等进行综合评定</w:t>
            </w:r>
            <w:r>
              <w:rPr>
                <w:rFonts w:hint="eastAsia" w:ascii="宋体" w:hAnsi="宋体" w:cs="宋体"/>
                <w:snapToGrid w:val="0"/>
                <w:color w:val="auto"/>
                <w:kern w:val="2"/>
                <w:sz w:val="21"/>
                <w:szCs w:val="21"/>
                <w:highlight w:val="none"/>
                <w:lang w:val="zh-CN" w:eastAsia="zh-CN" w:bidi="ar-SA"/>
              </w:rPr>
              <w:t>，优</w:t>
            </w:r>
            <w:r>
              <w:rPr>
                <w:rFonts w:hint="eastAsia" w:ascii="宋体" w:hAnsi="宋体" w:eastAsia="宋体" w:cs="宋体"/>
                <w:snapToGrid w:val="0"/>
                <w:color w:val="auto"/>
                <w:kern w:val="2"/>
                <w:sz w:val="21"/>
                <w:szCs w:val="21"/>
                <w:highlight w:val="none"/>
                <w:lang w:val="zh-CN" w:eastAsia="zh-CN" w:bidi="ar-SA"/>
              </w:rPr>
              <w:t>得</w:t>
            </w:r>
            <w:r>
              <w:rPr>
                <w:rFonts w:hint="eastAsia" w:ascii="宋体" w:hAnsi="宋体" w:cs="宋体"/>
                <w:snapToGrid w:val="0"/>
                <w:color w:val="auto"/>
                <w:kern w:val="2"/>
                <w:sz w:val="21"/>
                <w:szCs w:val="21"/>
                <w:highlight w:val="none"/>
                <w:lang w:val="en-US" w:eastAsia="zh-CN" w:bidi="ar-SA"/>
              </w:rPr>
              <w:t>8</w:t>
            </w:r>
            <w:r>
              <w:rPr>
                <w:rFonts w:hint="eastAsia" w:ascii="宋体" w:hAnsi="宋体" w:eastAsia="宋体" w:cs="宋体"/>
                <w:snapToGrid w:val="0"/>
                <w:color w:val="auto"/>
                <w:kern w:val="2"/>
                <w:sz w:val="21"/>
                <w:szCs w:val="21"/>
                <w:highlight w:val="none"/>
                <w:lang w:val="zh-CN" w:eastAsia="zh-CN" w:bidi="ar-SA"/>
              </w:rPr>
              <w:t>分，</w:t>
            </w:r>
            <w:r>
              <w:rPr>
                <w:rFonts w:hint="eastAsia" w:ascii="宋体" w:hAnsi="宋体" w:cs="宋体"/>
                <w:snapToGrid w:val="0"/>
                <w:color w:val="auto"/>
                <w:kern w:val="2"/>
                <w:sz w:val="21"/>
                <w:szCs w:val="21"/>
                <w:highlight w:val="none"/>
                <w:lang w:val="zh-CN" w:eastAsia="zh-CN" w:bidi="ar-SA"/>
              </w:rPr>
              <w:t>良得</w:t>
            </w:r>
            <w:r>
              <w:rPr>
                <w:rFonts w:hint="eastAsia" w:ascii="宋体" w:hAnsi="宋体" w:cs="宋体"/>
                <w:snapToGrid w:val="0"/>
                <w:color w:val="auto"/>
                <w:kern w:val="2"/>
                <w:sz w:val="21"/>
                <w:szCs w:val="21"/>
                <w:highlight w:val="none"/>
                <w:lang w:val="en-US" w:eastAsia="zh-CN" w:bidi="ar-SA"/>
              </w:rPr>
              <w:t>4</w:t>
            </w:r>
            <w:r>
              <w:rPr>
                <w:rFonts w:hint="eastAsia" w:ascii="宋体" w:hAnsi="宋体" w:eastAsia="宋体" w:cs="宋体"/>
                <w:snapToGrid w:val="0"/>
                <w:color w:val="auto"/>
                <w:kern w:val="2"/>
                <w:sz w:val="21"/>
                <w:szCs w:val="21"/>
                <w:highlight w:val="none"/>
                <w:lang w:val="zh-CN" w:eastAsia="zh-CN" w:bidi="ar-SA"/>
              </w:rPr>
              <w:t>分，</w:t>
            </w:r>
            <w:r>
              <w:rPr>
                <w:rFonts w:hint="eastAsia" w:ascii="宋体" w:hAnsi="宋体" w:cs="宋体"/>
                <w:snapToGrid w:val="0"/>
                <w:color w:val="auto"/>
                <w:kern w:val="2"/>
                <w:sz w:val="21"/>
                <w:szCs w:val="21"/>
                <w:highlight w:val="none"/>
                <w:lang w:val="zh-CN" w:eastAsia="zh-CN" w:bidi="ar-SA"/>
              </w:rPr>
              <w:t>一般得</w:t>
            </w:r>
            <w:r>
              <w:rPr>
                <w:rFonts w:hint="eastAsia" w:ascii="宋体" w:hAnsi="宋体" w:cs="宋体"/>
                <w:snapToGrid w:val="0"/>
                <w:color w:val="auto"/>
                <w:kern w:val="2"/>
                <w:sz w:val="21"/>
                <w:szCs w:val="21"/>
                <w:highlight w:val="none"/>
                <w:lang w:val="en-US" w:eastAsia="zh-CN" w:bidi="ar-SA"/>
              </w:rPr>
              <w:t>1分，</w:t>
            </w:r>
            <w:r>
              <w:rPr>
                <w:rFonts w:hint="eastAsia" w:ascii="宋体" w:hAnsi="宋体" w:cs="宋体"/>
                <w:snapToGrid w:val="0"/>
                <w:color w:val="auto"/>
                <w:kern w:val="2"/>
                <w:sz w:val="21"/>
                <w:szCs w:val="21"/>
                <w:highlight w:val="none"/>
                <w:lang w:val="zh-CN" w:eastAsia="zh-CN" w:bidi="ar-SA"/>
              </w:rPr>
              <w:t>不提供</w:t>
            </w:r>
            <w:r>
              <w:rPr>
                <w:rFonts w:hint="eastAsia" w:ascii="宋体" w:hAnsi="宋体" w:eastAsia="宋体" w:cs="宋体"/>
                <w:snapToGrid w:val="0"/>
                <w:color w:val="auto"/>
                <w:kern w:val="2"/>
                <w:sz w:val="21"/>
                <w:szCs w:val="21"/>
                <w:highlight w:val="none"/>
                <w:lang w:val="zh-CN" w:eastAsia="zh-CN" w:bidi="ar-SA"/>
              </w:rPr>
              <w:t>不得分。</w:t>
            </w:r>
          </w:p>
          <w:p w14:paraId="3D24D621">
            <w:pPr>
              <w:pStyle w:val="19"/>
              <w:spacing w:line="360" w:lineRule="auto"/>
              <w:ind w:firstLine="0"/>
              <w:jc w:val="left"/>
              <w:rPr>
                <w:rFonts w:hint="eastAsia" w:ascii="宋体" w:hAnsi="宋体" w:cs="宋体"/>
                <w:snapToGrid w:val="0"/>
                <w:color w:val="auto"/>
                <w:kern w:val="2"/>
                <w:sz w:val="21"/>
                <w:szCs w:val="21"/>
                <w:highlight w:val="none"/>
                <w:lang w:val="zh-CN" w:eastAsia="zh-CN" w:bidi="ar-SA"/>
              </w:rPr>
            </w:pPr>
            <w:r>
              <w:rPr>
                <w:rFonts w:hint="eastAsia" w:ascii="宋体" w:hAnsi="宋体" w:eastAsia="宋体" w:cs="宋体"/>
                <w:snapToGrid w:val="0"/>
                <w:color w:val="auto"/>
                <w:kern w:val="2"/>
                <w:sz w:val="21"/>
                <w:szCs w:val="21"/>
                <w:highlight w:val="none"/>
                <w:lang w:val="zh-CN" w:eastAsia="zh-CN" w:bidi="ar-SA"/>
              </w:rPr>
              <w:t>2、</w:t>
            </w:r>
            <w:r>
              <w:rPr>
                <w:rFonts w:hint="eastAsia" w:ascii="宋体" w:hAnsi="宋体" w:cs="宋体"/>
                <w:snapToGrid w:val="0"/>
                <w:color w:val="auto"/>
                <w:kern w:val="2"/>
                <w:sz w:val="21"/>
                <w:szCs w:val="21"/>
                <w:highlight w:val="none"/>
                <w:lang w:val="zh-CN" w:eastAsia="zh-CN" w:bidi="ar-SA"/>
              </w:rPr>
              <w:t>提供针对本项目实施与运行管理方案，（方案包括但不限于进度管理、现场施工管理、项目质量管理、运行维护管理、突发事件管理等），要求方案体系阐述详细，思路清晰，内容详细完整，优得</w:t>
            </w:r>
            <w:r>
              <w:rPr>
                <w:rFonts w:hint="eastAsia" w:ascii="宋体" w:hAnsi="宋体" w:cs="宋体"/>
                <w:snapToGrid w:val="0"/>
                <w:color w:val="auto"/>
                <w:kern w:val="2"/>
                <w:sz w:val="21"/>
                <w:szCs w:val="21"/>
                <w:highlight w:val="none"/>
                <w:lang w:val="en-US" w:eastAsia="zh-CN" w:bidi="ar-SA"/>
              </w:rPr>
              <w:t>8</w:t>
            </w:r>
            <w:r>
              <w:rPr>
                <w:rFonts w:hint="eastAsia" w:ascii="宋体" w:hAnsi="宋体" w:cs="宋体"/>
                <w:snapToGrid w:val="0"/>
                <w:color w:val="auto"/>
                <w:kern w:val="2"/>
                <w:sz w:val="21"/>
                <w:szCs w:val="21"/>
                <w:highlight w:val="none"/>
                <w:lang w:val="zh-CN" w:eastAsia="zh-CN" w:bidi="ar-SA"/>
              </w:rPr>
              <w:t>分，良得</w:t>
            </w:r>
            <w:r>
              <w:rPr>
                <w:rFonts w:hint="eastAsia" w:ascii="宋体" w:hAnsi="宋体" w:cs="宋体"/>
                <w:snapToGrid w:val="0"/>
                <w:color w:val="auto"/>
                <w:kern w:val="2"/>
                <w:sz w:val="21"/>
                <w:szCs w:val="21"/>
                <w:highlight w:val="none"/>
                <w:lang w:val="en-US" w:eastAsia="zh-CN" w:bidi="ar-SA"/>
              </w:rPr>
              <w:t>4</w:t>
            </w:r>
            <w:r>
              <w:rPr>
                <w:rFonts w:hint="eastAsia" w:ascii="宋体" w:hAnsi="宋体" w:cs="宋体"/>
                <w:snapToGrid w:val="0"/>
                <w:color w:val="auto"/>
                <w:kern w:val="2"/>
                <w:sz w:val="21"/>
                <w:szCs w:val="21"/>
                <w:highlight w:val="none"/>
                <w:lang w:val="zh-CN" w:eastAsia="zh-CN" w:bidi="ar-SA"/>
              </w:rPr>
              <w:t>分，一般得1分，不提供不得分。</w:t>
            </w:r>
          </w:p>
          <w:p w14:paraId="5F963D4D">
            <w:pPr>
              <w:pStyle w:val="19"/>
              <w:spacing w:line="360" w:lineRule="auto"/>
              <w:ind w:firstLine="0"/>
              <w:jc w:val="left"/>
              <w:rPr>
                <w:rFonts w:hint="eastAsia" w:ascii="宋体" w:hAnsi="宋体" w:eastAsia="宋体" w:cs="宋体"/>
                <w:snapToGrid w:val="0"/>
                <w:color w:val="auto"/>
                <w:kern w:val="2"/>
                <w:sz w:val="21"/>
                <w:szCs w:val="21"/>
                <w:highlight w:val="none"/>
                <w:lang w:val="zh-CN" w:eastAsia="zh-CN" w:bidi="ar-SA"/>
              </w:rPr>
            </w:pPr>
            <w:r>
              <w:rPr>
                <w:rFonts w:hint="eastAsia" w:ascii="宋体" w:hAnsi="宋体" w:cs="宋体"/>
                <w:snapToGrid w:val="0"/>
                <w:color w:val="auto"/>
                <w:kern w:val="2"/>
                <w:sz w:val="21"/>
                <w:szCs w:val="21"/>
                <w:highlight w:val="none"/>
                <w:lang w:val="en-US" w:eastAsia="zh-CN" w:bidi="ar-SA"/>
              </w:rPr>
              <w:t>3、</w:t>
            </w:r>
            <w:r>
              <w:rPr>
                <w:rFonts w:hint="eastAsia" w:ascii="宋体" w:hAnsi="宋体" w:cs="宋体"/>
                <w:snapToGrid w:val="0"/>
                <w:color w:val="auto"/>
                <w:kern w:val="2"/>
                <w:sz w:val="21"/>
                <w:szCs w:val="21"/>
                <w:highlight w:val="none"/>
                <w:lang w:val="zh-CN" w:eastAsia="zh-CN" w:bidi="ar-SA"/>
              </w:rPr>
              <w:t>提供针对本项目的实施进度计划，（方案包含但不限于进度安排、设备配备计划、验收计划等），针对方案内容进行综合评定，优得</w:t>
            </w:r>
            <w:r>
              <w:rPr>
                <w:rFonts w:hint="eastAsia" w:ascii="宋体" w:hAnsi="宋体" w:cs="宋体"/>
                <w:snapToGrid w:val="0"/>
                <w:color w:val="auto"/>
                <w:kern w:val="2"/>
                <w:sz w:val="21"/>
                <w:szCs w:val="21"/>
                <w:highlight w:val="none"/>
                <w:lang w:val="en-US" w:eastAsia="zh-CN" w:bidi="ar-SA"/>
              </w:rPr>
              <w:t>8</w:t>
            </w:r>
            <w:r>
              <w:rPr>
                <w:rFonts w:hint="eastAsia" w:ascii="宋体" w:hAnsi="宋体" w:cs="宋体"/>
                <w:snapToGrid w:val="0"/>
                <w:color w:val="auto"/>
                <w:kern w:val="2"/>
                <w:sz w:val="21"/>
                <w:szCs w:val="21"/>
                <w:highlight w:val="none"/>
                <w:lang w:val="zh-CN" w:eastAsia="zh-CN" w:bidi="ar-SA"/>
              </w:rPr>
              <w:t>分，良得</w:t>
            </w:r>
            <w:r>
              <w:rPr>
                <w:rFonts w:hint="eastAsia" w:ascii="宋体" w:hAnsi="宋体" w:cs="宋体"/>
                <w:snapToGrid w:val="0"/>
                <w:color w:val="auto"/>
                <w:kern w:val="2"/>
                <w:sz w:val="21"/>
                <w:szCs w:val="21"/>
                <w:highlight w:val="none"/>
                <w:lang w:val="en-US" w:eastAsia="zh-CN" w:bidi="ar-SA"/>
              </w:rPr>
              <w:t>4</w:t>
            </w:r>
            <w:r>
              <w:rPr>
                <w:rFonts w:hint="eastAsia" w:ascii="宋体" w:hAnsi="宋体" w:cs="宋体"/>
                <w:snapToGrid w:val="0"/>
                <w:color w:val="auto"/>
                <w:kern w:val="2"/>
                <w:sz w:val="21"/>
                <w:szCs w:val="21"/>
                <w:highlight w:val="none"/>
                <w:lang w:val="zh-CN" w:eastAsia="zh-CN" w:bidi="ar-SA"/>
              </w:rPr>
              <w:t>分，一般</w:t>
            </w:r>
            <w:r>
              <w:rPr>
                <w:rFonts w:hint="eastAsia" w:ascii="宋体" w:hAnsi="宋体" w:eastAsia="宋体" w:cs="宋体"/>
                <w:snapToGrid w:val="0"/>
                <w:color w:val="auto"/>
                <w:kern w:val="2"/>
                <w:sz w:val="21"/>
                <w:szCs w:val="21"/>
                <w:highlight w:val="none"/>
                <w:lang w:val="zh-CN" w:eastAsia="zh-CN" w:bidi="ar-SA"/>
              </w:rPr>
              <w:t>得1分，不提供不得分。</w:t>
            </w:r>
          </w:p>
          <w:p w14:paraId="20C2E3E6">
            <w:pPr>
              <w:pStyle w:val="19"/>
              <w:spacing w:line="360" w:lineRule="auto"/>
              <w:ind w:firstLine="0"/>
              <w:jc w:val="left"/>
              <w:rPr>
                <w:rFonts w:hint="eastAsia" w:ascii="宋体" w:hAnsi="宋体" w:eastAsia="宋体" w:cs="宋体"/>
                <w:snapToGrid w:val="0"/>
                <w:color w:val="auto"/>
                <w:kern w:val="2"/>
                <w:sz w:val="21"/>
                <w:szCs w:val="21"/>
                <w:highlight w:val="none"/>
                <w:lang w:val="en-US" w:eastAsia="zh-CN" w:bidi="ar-SA"/>
              </w:rPr>
            </w:pPr>
            <w:r>
              <w:rPr>
                <w:rFonts w:hint="eastAsia" w:ascii="宋体" w:hAnsi="宋体" w:eastAsia="宋体" w:cs="宋体"/>
                <w:snapToGrid w:val="0"/>
                <w:color w:val="auto"/>
                <w:kern w:val="2"/>
                <w:sz w:val="21"/>
                <w:szCs w:val="21"/>
                <w:highlight w:val="none"/>
                <w:lang w:val="en-US" w:eastAsia="zh-CN" w:bidi="ar-SA"/>
              </w:rPr>
              <w:t>4、</w:t>
            </w:r>
            <w:r>
              <w:rPr>
                <w:rFonts w:hint="eastAsia" w:ascii="宋体" w:hAnsi="宋体" w:eastAsia="宋体" w:cs="宋体"/>
                <w:snapToGrid w:val="0"/>
                <w:color w:val="auto"/>
                <w:kern w:val="2"/>
                <w:sz w:val="21"/>
                <w:szCs w:val="21"/>
                <w:highlight w:val="none"/>
                <w:lang w:val="zh-CN" w:eastAsia="zh-CN" w:bidi="ar-SA"/>
              </w:rPr>
              <w:t>设备材料采购管理组织机构健全，设备材料采购控制措施明确；设备采购计划批次合理，采购程序严密，职责分工明确；物质运输方案合理、运输安全措施明确，</w:t>
            </w:r>
            <w:r>
              <w:rPr>
                <w:rFonts w:hint="eastAsia" w:ascii="宋体" w:hAnsi="宋体" w:eastAsia="宋体" w:cs="宋体"/>
                <w:snapToGrid w:val="0"/>
                <w:color w:val="auto"/>
                <w:kern w:val="2"/>
                <w:sz w:val="21"/>
                <w:szCs w:val="21"/>
                <w:highlight w:val="none"/>
                <w:lang w:val="en-US" w:eastAsia="zh-CN" w:bidi="ar-SA"/>
              </w:rPr>
              <w:t>对方案内容进行综合评定，优得8分，良得4分，一般得1分，不提供不得分。</w:t>
            </w:r>
          </w:p>
          <w:p w14:paraId="737676B7">
            <w:pPr>
              <w:pStyle w:val="19"/>
              <w:spacing w:line="360" w:lineRule="auto"/>
              <w:ind w:firstLine="0"/>
              <w:jc w:val="left"/>
              <w:rPr>
                <w:rFonts w:hint="eastAsia" w:ascii="宋体" w:hAnsi="宋体" w:eastAsia="宋体" w:cs="宋体"/>
                <w:snapToGrid w:val="0"/>
                <w:color w:val="auto"/>
                <w:kern w:val="2"/>
                <w:sz w:val="21"/>
                <w:szCs w:val="21"/>
                <w:highlight w:val="none"/>
                <w:lang w:val="zh-CN" w:eastAsia="zh-CN" w:bidi="ar-SA"/>
              </w:rPr>
            </w:pPr>
            <w:r>
              <w:rPr>
                <w:rFonts w:hint="eastAsia" w:ascii="宋体" w:hAnsi="宋体" w:eastAsia="宋体" w:cs="宋体"/>
                <w:snapToGrid w:val="0"/>
                <w:color w:val="auto"/>
                <w:kern w:val="2"/>
                <w:sz w:val="21"/>
                <w:szCs w:val="21"/>
                <w:highlight w:val="none"/>
                <w:lang w:val="en-US" w:eastAsia="zh-CN" w:bidi="ar-SA"/>
              </w:rPr>
              <w:t>5、提供针对本项目的项目风险分析与应对策略</w:t>
            </w:r>
            <w:r>
              <w:rPr>
                <w:rFonts w:hint="eastAsia" w:ascii="宋体" w:hAnsi="宋体" w:cs="宋体"/>
                <w:snapToGrid w:val="0"/>
                <w:color w:val="auto"/>
                <w:kern w:val="2"/>
                <w:sz w:val="21"/>
                <w:szCs w:val="21"/>
                <w:highlight w:val="none"/>
                <w:lang w:val="en-US" w:eastAsia="zh-CN" w:bidi="ar-SA"/>
              </w:rPr>
              <w:t>方案，方案分析阐述详细、思路清晰，内容完整，优得8分，良得4分，一般得1分，不提供不得分。</w:t>
            </w:r>
          </w:p>
        </w:tc>
        <w:tc>
          <w:tcPr>
            <w:tcW w:w="921" w:type="dxa"/>
            <w:tcBorders>
              <w:top w:val="single" w:color="auto" w:sz="4" w:space="0"/>
              <w:left w:val="nil"/>
              <w:bottom w:val="single" w:color="auto" w:sz="4" w:space="0"/>
              <w:right w:val="single" w:color="auto" w:sz="8" w:space="0"/>
            </w:tcBorders>
            <w:tcMar>
              <w:left w:w="108" w:type="dxa"/>
              <w:right w:w="108" w:type="dxa"/>
            </w:tcMar>
            <w:vAlign w:val="center"/>
          </w:tcPr>
          <w:p w14:paraId="6D0A0CF9">
            <w:pPr>
              <w:widowControl/>
              <w:kinsoku w:val="0"/>
              <w:adjustRightInd w:val="0"/>
              <w:snapToGrid w:val="0"/>
              <w:jc w:val="center"/>
              <w:textAlignment w:val="baseline"/>
              <w:rPr>
                <w:rFonts w:hint="eastAsia" w:ascii="宋体" w:hAnsi="宋体" w:eastAsia="宋体" w:cs="宋体"/>
                <w:b/>
                <w:bCs/>
                <w:snapToGrid w:val="0"/>
                <w:color w:val="auto"/>
                <w:szCs w:val="21"/>
                <w:highlight w:val="none"/>
              </w:rPr>
            </w:pPr>
            <w:r>
              <w:rPr>
                <w:rFonts w:hint="eastAsia" w:ascii="宋体" w:hAnsi="宋体" w:cs="宋体"/>
                <w:b/>
                <w:bCs/>
                <w:snapToGrid w:val="0"/>
                <w:color w:val="auto"/>
                <w:szCs w:val="21"/>
                <w:highlight w:val="none"/>
                <w:lang w:val="en-US" w:eastAsia="zh-CN"/>
              </w:rPr>
              <w:t>40</w:t>
            </w:r>
            <w:r>
              <w:rPr>
                <w:rFonts w:hint="eastAsia" w:ascii="宋体" w:hAnsi="宋体" w:eastAsia="宋体" w:cs="宋体"/>
                <w:b/>
                <w:bCs/>
                <w:snapToGrid w:val="0"/>
                <w:color w:val="auto"/>
                <w:szCs w:val="21"/>
                <w:highlight w:val="none"/>
              </w:rPr>
              <w:t>分</w:t>
            </w:r>
          </w:p>
        </w:tc>
      </w:tr>
      <w:tr w14:paraId="22EA416E">
        <w:tblPrEx>
          <w:tblCellMar>
            <w:top w:w="0" w:type="dxa"/>
            <w:left w:w="0" w:type="dxa"/>
            <w:bottom w:w="0" w:type="dxa"/>
            <w:right w:w="0" w:type="dxa"/>
          </w:tblCellMar>
        </w:tblPrEx>
        <w:trPr>
          <w:trHeight w:val="1577" w:hRule="atLeast"/>
          <w:jc w:val="center"/>
        </w:trPr>
        <w:tc>
          <w:tcPr>
            <w:tcW w:w="1595" w:type="dxa"/>
            <w:gridSpan w:val="3"/>
            <w:tcBorders>
              <w:top w:val="single" w:color="auto" w:sz="4" w:space="0"/>
              <w:left w:val="single" w:color="auto" w:sz="8" w:space="0"/>
              <w:bottom w:val="single" w:color="auto" w:sz="4" w:space="0"/>
              <w:right w:val="single" w:color="auto" w:sz="8" w:space="0"/>
            </w:tcBorders>
            <w:tcMar>
              <w:left w:w="108" w:type="dxa"/>
              <w:right w:w="108" w:type="dxa"/>
            </w:tcMar>
            <w:vAlign w:val="center"/>
          </w:tcPr>
          <w:p w14:paraId="63D578E6">
            <w:pPr>
              <w:pStyle w:val="19"/>
              <w:spacing w:line="360" w:lineRule="auto"/>
              <w:ind w:firstLine="0"/>
              <w:jc w:val="center"/>
              <w:rPr>
                <w:rFonts w:hint="eastAsia" w:ascii="宋体" w:hAnsi="宋体" w:eastAsia="宋体" w:cs="宋体"/>
                <w:snapToGrid w:val="0"/>
                <w:color w:val="auto"/>
                <w:kern w:val="2"/>
                <w:sz w:val="21"/>
                <w:szCs w:val="21"/>
                <w:highlight w:val="none"/>
                <w:lang w:val="zh-CN" w:eastAsia="zh-CN" w:bidi="ar-SA"/>
              </w:rPr>
            </w:pPr>
            <w:r>
              <w:rPr>
                <w:rFonts w:hint="eastAsia" w:ascii="宋体" w:hAnsi="宋体" w:eastAsia="宋体" w:cs="宋体"/>
                <w:snapToGrid w:val="0"/>
                <w:color w:val="auto"/>
                <w:kern w:val="2"/>
                <w:sz w:val="21"/>
                <w:szCs w:val="21"/>
                <w:highlight w:val="none"/>
                <w:lang w:val="zh-CN" w:eastAsia="zh-CN" w:bidi="ar-SA"/>
              </w:rPr>
              <w:t>售后服务</w:t>
            </w:r>
          </w:p>
        </w:tc>
        <w:tc>
          <w:tcPr>
            <w:tcW w:w="6614" w:type="dxa"/>
            <w:tcBorders>
              <w:top w:val="single" w:color="auto" w:sz="4" w:space="0"/>
              <w:left w:val="nil"/>
              <w:bottom w:val="single" w:color="auto" w:sz="4" w:space="0"/>
              <w:right w:val="single" w:color="auto" w:sz="8" w:space="0"/>
            </w:tcBorders>
            <w:tcMar>
              <w:left w:w="108" w:type="dxa"/>
              <w:right w:w="108" w:type="dxa"/>
            </w:tcMar>
            <w:vAlign w:val="center"/>
          </w:tcPr>
          <w:p w14:paraId="054BD307">
            <w:pPr>
              <w:pStyle w:val="19"/>
              <w:spacing w:line="360" w:lineRule="auto"/>
              <w:ind w:firstLine="0"/>
              <w:jc w:val="left"/>
              <w:rPr>
                <w:rFonts w:hint="eastAsia" w:ascii="宋体" w:hAnsi="宋体" w:eastAsia="宋体" w:cs="宋体"/>
                <w:snapToGrid w:val="0"/>
                <w:color w:val="auto"/>
                <w:kern w:val="2"/>
                <w:sz w:val="21"/>
                <w:szCs w:val="21"/>
                <w:highlight w:val="none"/>
                <w:lang w:val="en-US" w:eastAsia="zh-CN" w:bidi="ar-SA"/>
              </w:rPr>
            </w:pPr>
            <w:r>
              <w:rPr>
                <w:rFonts w:hint="eastAsia" w:ascii="宋体" w:hAnsi="宋体" w:eastAsia="宋体" w:cs="宋体"/>
                <w:snapToGrid w:val="0"/>
                <w:color w:val="auto"/>
                <w:kern w:val="2"/>
                <w:sz w:val="21"/>
                <w:szCs w:val="21"/>
                <w:highlight w:val="none"/>
                <w:lang w:val="zh-CN" w:eastAsia="zh-CN" w:bidi="ar-SA"/>
              </w:rPr>
              <w:t>根据投标人提供的售后服务方案进行评分，包括服务内容、服务体系、响应方式、响应时间、人力资源分配方案等进行综合评定，要求方案阐述详细，思路清晰，内容详细完整</w:t>
            </w:r>
            <w:r>
              <w:rPr>
                <w:rFonts w:hint="eastAsia" w:ascii="宋体" w:hAnsi="宋体" w:cs="宋体"/>
                <w:snapToGrid w:val="0"/>
                <w:color w:val="auto"/>
                <w:kern w:val="2"/>
                <w:sz w:val="21"/>
                <w:szCs w:val="21"/>
                <w:highlight w:val="none"/>
                <w:lang w:val="zh-CN" w:eastAsia="zh-CN" w:bidi="ar-SA"/>
              </w:rPr>
              <w:t>，优</w:t>
            </w:r>
            <w:r>
              <w:rPr>
                <w:rFonts w:hint="eastAsia" w:ascii="宋体" w:hAnsi="宋体" w:eastAsia="宋体" w:cs="宋体"/>
                <w:snapToGrid w:val="0"/>
                <w:color w:val="auto"/>
                <w:kern w:val="2"/>
                <w:sz w:val="21"/>
                <w:szCs w:val="21"/>
                <w:highlight w:val="none"/>
                <w:lang w:val="zh-CN" w:eastAsia="zh-CN" w:bidi="ar-SA"/>
              </w:rPr>
              <w:t>得</w:t>
            </w:r>
            <w:r>
              <w:rPr>
                <w:rFonts w:hint="eastAsia" w:ascii="宋体" w:hAnsi="宋体" w:cs="宋体"/>
                <w:snapToGrid w:val="0"/>
                <w:color w:val="auto"/>
                <w:kern w:val="2"/>
                <w:sz w:val="21"/>
                <w:szCs w:val="21"/>
                <w:highlight w:val="none"/>
                <w:lang w:val="en-US" w:eastAsia="zh-CN" w:bidi="ar-SA"/>
              </w:rPr>
              <w:t>5</w:t>
            </w:r>
            <w:r>
              <w:rPr>
                <w:rFonts w:hint="eastAsia" w:ascii="宋体" w:hAnsi="宋体" w:eastAsia="宋体" w:cs="宋体"/>
                <w:snapToGrid w:val="0"/>
                <w:color w:val="auto"/>
                <w:kern w:val="2"/>
                <w:sz w:val="21"/>
                <w:szCs w:val="21"/>
                <w:highlight w:val="none"/>
                <w:lang w:val="zh-CN" w:eastAsia="zh-CN" w:bidi="ar-SA"/>
              </w:rPr>
              <w:t>分，</w:t>
            </w:r>
            <w:r>
              <w:rPr>
                <w:rFonts w:hint="eastAsia" w:ascii="宋体" w:hAnsi="宋体" w:cs="宋体"/>
                <w:snapToGrid w:val="0"/>
                <w:color w:val="auto"/>
                <w:kern w:val="2"/>
                <w:sz w:val="21"/>
                <w:szCs w:val="21"/>
                <w:highlight w:val="none"/>
                <w:lang w:val="zh-CN" w:eastAsia="zh-CN" w:bidi="ar-SA"/>
              </w:rPr>
              <w:t>良得</w:t>
            </w:r>
            <w:r>
              <w:rPr>
                <w:rFonts w:hint="eastAsia" w:ascii="宋体" w:hAnsi="宋体" w:cs="宋体"/>
                <w:snapToGrid w:val="0"/>
                <w:color w:val="auto"/>
                <w:kern w:val="2"/>
                <w:sz w:val="21"/>
                <w:szCs w:val="21"/>
                <w:highlight w:val="none"/>
                <w:lang w:val="en-US" w:eastAsia="zh-CN" w:bidi="ar-SA"/>
              </w:rPr>
              <w:t>2分，一般得1分，不提供不得分</w:t>
            </w:r>
            <w:r>
              <w:rPr>
                <w:rFonts w:hint="eastAsia" w:ascii="宋体" w:hAnsi="宋体" w:eastAsia="宋体" w:cs="宋体"/>
                <w:snapToGrid w:val="0"/>
                <w:color w:val="auto"/>
                <w:kern w:val="2"/>
                <w:sz w:val="21"/>
                <w:szCs w:val="21"/>
                <w:highlight w:val="none"/>
                <w:lang w:val="zh-CN" w:eastAsia="zh-CN" w:bidi="ar-SA"/>
              </w:rPr>
              <w:t>。</w:t>
            </w:r>
          </w:p>
        </w:tc>
        <w:tc>
          <w:tcPr>
            <w:tcW w:w="921" w:type="dxa"/>
            <w:tcBorders>
              <w:top w:val="single" w:color="auto" w:sz="4" w:space="0"/>
              <w:left w:val="nil"/>
              <w:bottom w:val="single" w:color="auto" w:sz="4" w:space="0"/>
              <w:right w:val="single" w:color="auto" w:sz="8" w:space="0"/>
            </w:tcBorders>
            <w:tcMar>
              <w:left w:w="108" w:type="dxa"/>
              <w:right w:w="108" w:type="dxa"/>
            </w:tcMar>
            <w:vAlign w:val="center"/>
          </w:tcPr>
          <w:p w14:paraId="1833D254">
            <w:pPr>
              <w:widowControl/>
              <w:kinsoku w:val="0"/>
              <w:adjustRightInd w:val="0"/>
              <w:snapToGrid w:val="0"/>
              <w:jc w:val="center"/>
              <w:textAlignment w:val="baseline"/>
              <w:rPr>
                <w:rFonts w:hint="eastAsia" w:ascii="宋体" w:hAnsi="宋体" w:eastAsia="宋体" w:cs="宋体"/>
                <w:b/>
                <w:bCs/>
                <w:snapToGrid w:val="0"/>
                <w:color w:val="auto"/>
                <w:szCs w:val="21"/>
                <w:highlight w:val="none"/>
              </w:rPr>
            </w:pPr>
            <w:r>
              <w:rPr>
                <w:rFonts w:hint="eastAsia" w:ascii="宋体" w:hAnsi="宋体" w:cs="宋体"/>
                <w:b/>
                <w:bCs/>
                <w:snapToGrid w:val="0"/>
                <w:color w:val="auto"/>
                <w:szCs w:val="21"/>
                <w:highlight w:val="none"/>
                <w:lang w:val="en-US" w:eastAsia="zh-CN"/>
              </w:rPr>
              <w:t>5</w:t>
            </w:r>
            <w:r>
              <w:rPr>
                <w:rFonts w:hint="eastAsia" w:ascii="宋体" w:hAnsi="宋体" w:eastAsia="宋体" w:cs="宋体"/>
                <w:b/>
                <w:bCs/>
                <w:snapToGrid w:val="0"/>
                <w:color w:val="auto"/>
                <w:szCs w:val="21"/>
                <w:highlight w:val="none"/>
              </w:rPr>
              <w:t>分</w:t>
            </w:r>
          </w:p>
        </w:tc>
      </w:tr>
      <w:tr w14:paraId="6E3307A9">
        <w:tblPrEx>
          <w:tblCellMar>
            <w:top w:w="0" w:type="dxa"/>
            <w:left w:w="0" w:type="dxa"/>
            <w:bottom w:w="0" w:type="dxa"/>
            <w:right w:w="0" w:type="dxa"/>
          </w:tblCellMar>
        </w:tblPrEx>
        <w:trPr>
          <w:trHeight w:val="643" w:hRule="atLeast"/>
          <w:jc w:val="center"/>
        </w:trPr>
        <w:tc>
          <w:tcPr>
            <w:tcW w:w="1595" w:type="dxa"/>
            <w:gridSpan w:val="3"/>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6132185">
            <w:pPr>
              <w:widowControl/>
              <w:kinsoku w:val="0"/>
              <w:adjustRightInd w:val="0"/>
              <w:snapToGrid w:val="0"/>
              <w:jc w:val="center"/>
              <w:textAlignment w:val="baseline"/>
              <w:rPr>
                <w:rFonts w:ascii="宋体" w:hAnsi="宋体"/>
                <w:snapToGrid w:val="0"/>
                <w:color w:val="auto"/>
                <w:szCs w:val="21"/>
                <w:highlight w:val="none"/>
              </w:rPr>
            </w:pPr>
            <w:r>
              <w:rPr>
                <w:rFonts w:hint="eastAsia" w:ascii="宋体" w:hAnsi="宋体"/>
                <w:snapToGrid w:val="0"/>
                <w:color w:val="auto"/>
                <w:szCs w:val="21"/>
                <w:highlight w:val="none"/>
              </w:rPr>
              <w:t>备注</w:t>
            </w:r>
          </w:p>
        </w:tc>
        <w:tc>
          <w:tcPr>
            <w:tcW w:w="7535" w:type="dxa"/>
            <w:gridSpan w:val="2"/>
            <w:tcBorders>
              <w:top w:val="single" w:color="auto" w:sz="4" w:space="0"/>
              <w:left w:val="single" w:color="auto" w:sz="8" w:space="0"/>
              <w:bottom w:val="single" w:color="auto" w:sz="8" w:space="0"/>
              <w:right w:val="single" w:color="auto" w:sz="8" w:space="0"/>
            </w:tcBorders>
            <w:tcMar>
              <w:left w:w="108" w:type="dxa"/>
              <w:right w:w="108" w:type="dxa"/>
            </w:tcMar>
            <w:vAlign w:val="center"/>
          </w:tcPr>
          <w:p w14:paraId="39F925E8">
            <w:pPr>
              <w:widowControl/>
              <w:kinsoku w:val="0"/>
              <w:adjustRightInd w:val="0"/>
              <w:snapToGrid w:val="0"/>
              <w:textAlignment w:val="baseline"/>
              <w:rPr>
                <w:rFonts w:ascii="宋体" w:hAnsi="宋体"/>
                <w:snapToGrid w:val="0"/>
                <w:color w:val="auto"/>
                <w:szCs w:val="21"/>
                <w:highlight w:val="none"/>
              </w:rPr>
            </w:pPr>
            <w:r>
              <w:rPr>
                <w:rFonts w:hint="eastAsia" w:ascii="宋体" w:hAnsi="宋体"/>
                <w:snapToGrid w:val="0"/>
                <w:color w:val="auto"/>
                <w:szCs w:val="21"/>
                <w:highlight w:val="none"/>
              </w:rPr>
              <w:t>本评分办法中的各种有效证明材料，投标人必须在投标文件中提供完整的原件的扫描件或图片，否则不得分；</w:t>
            </w:r>
          </w:p>
        </w:tc>
      </w:tr>
    </w:tbl>
    <w:p w14:paraId="275AF89C">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其中：价格分计算（落实政府采购政策价格调整部分）</w:t>
      </w:r>
    </w:p>
    <w:tbl>
      <w:tblPr>
        <w:tblStyle w:val="31"/>
        <w:tblW w:w="87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3003"/>
        <w:gridCol w:w="2714"/>
        <w:gridCol w:w="2284"/>
      </w:tblGrid>
      <w:tr w14:paraId="27314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66" w:type="dxa"/>
            <w:vAlign w:val="center"/>
          </w:tcPr>
          <w:p w14:paraId="2F39521B">
            <w:pPr>
              <w:pStyle w:val="17"/>
              <w:spacing w:line="360" w:lineRule="auto"/>
              <w:contextualSpacing/>
              <w:jc w:val="center"/>
              <w:rPr>
                <w:rFonts w:ascii="宋体" w:hAnsi="宋体" w:cs="仿宋_GB2312"/>
                <w:b/>
                <w:bCs/>
                <w:color w:val="auto"/>
                <w:sz w:val="21"/>
                <w:szCs w:val="21"/>
                <w:highlight w:val="none"/>
                <w:lang w:val="en-GB"/>
              </w:rPr>
            </w:pPr>
            <w:r>
              <w:rPr>
                <w:rFonts w:hint="eastAsia" w:ascii="宋体" w:hAnsi="宋体" w:cs="仿宋_GB2312"/>
                <w:b/>
                <w:bCs/>
                <w:color w:val="auto"/>
                <w:sz w:val="21"/>
                <w:szCs w:val="21"/>
                <w:highlight w:val="none"/>
                <w:lang w:val="en-GB"/>
              </w:rPr>
              <w:t>序号</w:t>
            </w:r>
          </w:p>
        </w:tc>
        <w:tc>
          <w:tcPr>
            <w:tcW w:w="3003" w:type="dxa"/>
            <w:vAlign w:val="center"/>
          </w:tcPr>
          <w:p w14:paraId="422ECD23">
            <w:pPr>
              <w:pStyle w:val="17"/>
              <w:spacing w:line="360" w:lineRule="auto"/>
              <w:contextualSpacing/>
              <w:jc w:val="center"/>
              <w:rPr>
                <w:rFonts w:ascii="宋体" w:hAnsi="宋体" w:cs="仿宋_GB2312"/>
                <w:b/>
                <w:bCs/>
                <w:color w:val="auto"/>
                <w:sz w:val="21"/>
                <w:szCs w:val="21"/>
                <w:highlight w:val="none"/>
                <w:lang w:val="en-GB"/>
              </w:rPr>
            </w:pPr>
            <w:r>
              <w:rPr>
                <w:rFonts w:hint="eastAsia" w:ascii="宋体" w:hAnsi="宋体" w:cs="仿宋_GB2312"/>
                <w:b/>
                <w:bCs/>
                <w:color w:val="auto"/>
                <w:sz w:val="21"/>
                <w:szCs w:val="21"/>
                <w:highlight w:val="none"/>
                <w:lang w:val="en-GB"/>
              </w:rPr>
              <w:t>情形</w:t>
            </w:r>
          </w:p>
        </w:tc>
        <w:tc>
          <w:tcPr>
            <w:tcW w:w="2714" w:type="dxa"/>
            <w:vAlign w:val="center"/>
          </w:tcPr>
          <w:p w14:paraId="3834EB0C">
            <w:pPr>
              <w:pStyle w:val="17"/>
              <w:spacing w:line="360" w:lineRule="auto"/>
              <w:contextualSpacing/>
              <w:jc w:val="center"/>
              <w:rPr>
                <w:rFonts w:ascii="宋体" w:hAnsi="宋体" w:cs="仿宋_GB2312"/>
                <w:b/>
                <w:bCs/>
                <w:color w:val="auto"/>
                <w:sz w:val="21"/>
                <w:szCs w:val="21"/>
                <w:highlight w:val="none"/>
                <w:lang w:val="en-GB"/>
              </w:rPr>
            </w:pPr>
            <w:r>
              <w:rPr>
                <w:rFonts w:hint="eastAsia" w:ascii="宋体" w:hAnsi="宋体" w:cs="仿宋_GB2312"/>
                <w:b/>
                <w:bCs/>
                <w:color w:val="auto"/>
                <w:sz w:val="21"/>
                <w:szCs w:val="21"/>
                <w:highlight w:val="none"/>
                <w:lang w:val="zh-CN"/>
              </w:rPr>
              <w:t>价格扣除</w:t>
            </w:r>
            <w:r>
              <w:rPr>
                <w:rFonts w:hint="eastAsia" w:ascii="宋体" w:hAnsi="宋体" w:cs="仿宋_GB2312"/>
                <w:b/>
                <w:bCs/>
                <w:color w:val="auto"/>
                <w:sz w:val="21"/>
                <w:szCs w:val="21"/>
                <w:highlight w:val="none"/>
                <w:lang w:val="en-GB"/>
              </w:rPr>
              <w:t>比例</w:t>
            </w:r>
          </w:p>
        </w:tc>
        <w:tc>
          <w:tcPr>
            <w:tcW w:w="2284" w:type="dxa"/>
            <w:vAlign w:val="center"/>
          </w:tcPr>
          <w:p w14:paraId="7D6F08B6">
            <w:pPr>
              <w:pStyle w:val="17"/>
              <w:spacing w:line="360" w:lineRule="auto"/>
              <w:contextualSpacing/>
              <w:jc w:val="center"/>
              <w:rPr>
                <w:rFonts w:ascii="宋体" w:hAnsi="宋体" w:cs="仿宋_GB2312"/>
                <w:b/>
                <w:bCs/>
                <w:color w:val="auto"/>
                <w:sz w:val="21"/>
                <w:szCs w:val="21"/>
                <w:highlight w:val="none"/>
                <w:lang w:val="en-GB"/>
              </w:rPr>
            </w:pPr>
            <w:r>
              <w:rPr>
                <w:rFonts w:hint="eastAsia" w:ascii="宋体" w:hAnsi="宋体" w:cs="仿宋_GB2312"/>
                <w:b/>
                <w:bCs/>
                <w:color w:val="auto"/>
                <w:sz w:val="21"/>
                <w:szCs w:val="21"/>
                <w:highlight w:val="none"/>
                <w:lang w:val="en-GB"/>
              </w:rPr>
              <w:t>计算公式</w:t>
            </w:r>
          </w:p>
        </w:tc>
      </w:tr>
      <w:tr w14:paraId="0F11D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766" w:type="dxa"/>
            <w:vAlign w:val="center"/>
          </w:tcPr>
          <w:p w14:paraId="3B80C415">
            <w:pPr>
              <w:pStyle w:val="17"/>
              <w:spacing w:line="360" w:lineRule="auto"/>
              <w:contextualSpacing/>
              <w:jc w:val="center"/>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1</w:t>
            </w:r>
          </w:p>
        </w:tc>
        <w:tc>
          <w:tcPr>
            <w:tcW w:w="3003" w:type="dxa"/>
            <w:vAlign w:val="center"/>
          </w:tcPr>
          <w:p w14:paraId="310BA012">
            <w:pPr>
              <w:pStyle w:val="17"/>
              <w:spacing w:line="360" w:lineRule="auto"/>
              <w:contextualSpacing/>
              <w:jc w:val="left"/>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非联合体投标人</w:t>
            </w:r>
          </w:p>
        </w:tc>
        <w:tc>
          <w:tcPr>
            <w:tcW w:w="2714" w:type="dxa"/>
            <w:vAlign w:val="center"/>
          </w:tcPr>
          <w:p w14:paraId="48A0D46B">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对小型和微型企业报价 扣除20%</w:t>
            </w:r>
          </w:p>
        </w:tc>
        <w:tc>
          <w:tcPr>
            <w:tcW w:w="2284" w:type="dxa"/>
            <w:vMerge w:val="restart"/>
            <w:vAlign w:val="center"/>
          </w:tcPr>
          <w:p w14:paraId="0FB40FFC">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评标价格＝小型和微型企业报价×（1-20%）</w:t>
            </w:r>
          </w:p>
        </w:tc>
      </w:tr>
      <w:tr w14:paraId="48BDB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766" w:type="dxa"/>
            <w:vAlign w:val="center"/>
          </w:tcPr>
          <w:p w14:paraId="0FFA2248">
            <w:pPr>
              <w:pStyle w:val="17"/>
              <w:spacing w:line="360" w:lineRule="auto"/>
              <w:contextualSpacing/>
              <w:jc w:val="center"/>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2</w:t>
            </w:r>
          </w:p>
        </w:tc>
        <w:tc>
          <w:tcPr>
            <w:tcW w:w="3003" w:type="dxa"/>
            <w:vAlign w:val="center"/>
          </w:tcPr>
          <w:p w14:paraId="080AD320">
            <w:pPr>
              <w:pStyle w:val="17"/>
              <w:spacing w:line="360" w:lineRule="auto"/>
              <w:contextualSpacing/>
              <w:jc w:val="left"/>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联合体各方均为小型、微型企业</w:t>
            </w:r>
          </w:p>
        </w:tc>
        <w:tc>
          <w:tcPr>
            <w:tcW w:w="2714" w:type="dxa"/>
            <w:vAlign w:val="center"/>
          </w:tcPr>
          <w:p w14:paraId="490FA981">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对小型和微型企业报价</w:t>
            </w:r>
          </w:p>
          <w:p w14:paraId="72C63366">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扣除20%（不再享受序号 3 的价格折扣）</w:t>
            </w:r>
          </w:p>
        </w:tc>
        <w:tc>
          <w:tcPr>
            <w:tcW w:w="2284" w:type="dxa"/>
            <w:vMerge w:val="continue"/>
            <w:vAlign w:val="center"/>
          </w:tcPr>
          <w:p w14:paraId="2760F2B5">
            <w:pPr>
              <w:pStyle w:val="17"/>
              <w:spacing w:line="360" w:lineRule="auto"/>
              <w:contextualSpacing/>
              <w:rPr>
                <w:rFonts w:ascii="宋体" w:hAnsi="宋体" w:cs="仿宋_GB2312"/>
                <w:color w:val="auto"/>
                <w:sz w:val="21"/>
                <w:szCs w:val="21"/>
                <w:highlight w:val="none"/>
                <w:lang w:val="zh-CN"/>
              </w:rPr>
            </w:pPr>
          </w:p>
        </w:tc>
      </w:tr>
      <w:tr w14:paraId="54ED4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66" w:type="dxa"/>
            <w:vAlign w:val="center"/>
          </w:tcPr>
          <w:p w14:paraId="29C00C92">
            <w:pPr>
              <w:pStyle w:val="17"/>
              <w:spacing w:line="360" w:lineRule="auto"/>
              <w:contextualSpacing/>
              <w:jc w:val="center"/>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3</w:t>
            </w:r>
          </w:p>
        </w:tc>
        <w:tc>
          <w:tcPr>
            <w:tcW w:w="3003" w:type="dxa"/>
            <w:vAlign w:val="center"/>
          </w:tcPr>
          <w:p w14:paraId="1C7FD2ED">
            <w:pPr>
              <w:pStyle w:val="17"/>
              <w:spacing w:line="360" w:lineRule="auto"/>
              <w:contextualSpacing/>
              <w:jc w:val="left"/>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接受大中型企业与小微企业 组成联合体或者允许大中型 企业向一家或者多家小微企 业分包的采购项目，对于联 合协议或者分包意向协议约 定小微企业的合同份额占到 合同总金额 30%以上</w:t>
            </w:r>
          </w:p>
        </w:tc>
        <w:tc>
          <w:tcPr>
            <w:tcW w:w="2714" w:type="dxa"/>
            <w:vAlign w:val="center"/>
          </w:tcPr>
          <w:p w14:paraId="2793E446">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 xml:space="preserve">对联合体或者大中型企业 的报价扣除 </w:t>
            </w:r>
            <w:r>
              <w:rPr>
                <w:rFonts w:hint="eastAsia" w:ascii="宋体" w:hAnsi="宋体" w:cs="仿宋_GB2312"/>
                <w:color w:val="auto"/>
                <w:sz w:val="21"/>
                <w:szCs w:val="21"/>
                <w:highlight w:val="none"/>
              </w:rPr>
              <w:t>4</w:t>
            </w:r>
            <w:r>
              <w:rPr>
                <w:rFonts w:hint="eastAsia" w:ascii="宋体" w:hAnsi="宋体" w:cs="仿宋_GB2312"/>
                <w:color w:val="auto"/>
                <w:sz w:val="21"/>
                <w:szCs w:val="21"/>
                <w:highlight w:val="none"/>
                <w:lang w:val="zh-CN"/>
              </w:rPr>
              <w:t>%</w:t>
            </w:r>
          </w:p>
        </w:tc>
        <w:tc>
          <w:tcPr>
            <w:tcW w:w="2284" w:type="dxa"/>
            <w:vAlign w:val="center"/>
          </w:tcPr>
          <w:p w14:paraId="0A129046">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评标价格＝投标报价× (1-</w:t>
            </w:r>
            <w:r>
              <w:rPr>
                <w:rFonts w:hint="eastAsia" w:ascii="宋体" w:hAnsi="宋体" w:cs="仿宋_GB2312"/>
                <w:color w:val="auto"/>
                <w:sz w:val="21"/>
                <w:szCs w:val="21"/>
                <w:highlight w:val="none"/>
              </w:rPr>
              <w:t>4</w:t>
            </w:r>
            <w:r>
              <w:rPr>
                <w:rFonts w:hint="eastAsia" w:ascii="宋体" w:hAnsi="宋体" w:cs="仿宋_GB2312"/>
                <w:color w:val="auto"/>
                <w:sz w:val="21"/>
                <w:szCs w:val="21"/>
                <w:highlight w:val="none"/>
                <w:lang w:val="zh-CN"/>
              </w:rPr>
              <w:t>%)</w:t>
            </w:r>
          </w:p>
        </w:tc>
      </w:tr>
      <w:tr w14:paraId="068A8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766" w:type="dxa"/>
            <w:vAlign w:val="center"/>
          </w:tcPr>
          <w:p w14:paraId="6D1A7261">
            <w:pPr>
              <w:pStyle w:val="17"/>
              <w:spacing w:line="360" w:lineRule="auto"/>
              <w:contextualSpacing/>
              <w:jc w:val="center"/>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4</w:t>
            </w:r>
          </w:p>
        </w:tc>
        <w:tc>
          <w:tcPr>
            <w:tcW w:w="3003" w:type="dxa"/>
            <w:vAlign w:val="center"/>
          </w:tcPr>
          <w:p w14:paraId="0A717B90">
            <w:pPr>
              <w:pStyle w:val="17"/>
              <w:spacing w:line="360" w:lineRule="auto"/>
              <w:contextualSpacing/>
              <w:jc w:val="left"/>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监狱企业</w:t>
            </w:r>
          </w:p>
        </w:tc>
        <w:tc>
          <w:tcPr>
            <w:tcW w:w="2714" w:type="dxa"/>
            <w:vAlign w:val="center"/>
          </w:tcPr>
          <w:p w14:paraId="2A4ED56C">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 xml:space="preserve">对监狱企业产品价格扣除 </w:t>
            </w:r>
            <w:r>
              <w:rPr>
                <w:rFonts w:hint="eastAsia" w:ascii="宋体" w:hAnsi="宋体" w:cs="仿宋_GB2312"/>
                <w:color w:val="auto"/>
                <w:sz w:val="21"/>
                <w:szCs w:val="21"/>
                <w:highlight w:val="none"/>
              </w:rPr>
              <w:t>20</w:t>
            </w:r>
            <w:r>
              <w:rPr>
                <w:rFonts w:hint="eastAsia" w:ascii="宋体" w:hAnsi="宋体" w:cs="仿宋_GB2312"/>
                <w:color w:val="auto"/>
                <w:sz w:val="21"/>
                <w:szCs w:val="21"/>
                <w:highlight w:val="none"/>
                <w:lang w:val="zh-CN"/>
              </w:rPr>
              <w:t>%</w:t>
            </w:r>
          </w:p>
        </w:tc>
        <w:tc>
          <w:tcPr>
            <w:tcW w:w="2284" w:type="dxa"/>
            <w:vAlign w:val="center"/>
          </w:tcPr>
          <w:p w14:paraId="50A8195A">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评标价格＝投标报价—监狱 企业产品的价格×</w:t>
            </w:r>
            <w:r>
              <w:rPr>
                <w:rFonts w:hint="eastAsia" w:ascii="宋体" w:hAnsi="宋体" w:cs="仿宋_GB2312"/>
                <w:color w:val="auto"/>
                <w:sz w:val="21"/>
                <w:szCs w:val="21"/>
                <w:highlight w:val="none"/>
              </w:rPr>
              <w:t>20</w:t>
            </w:r>
            <w:r>
              <w:rPr>
                <w:rFonts w:hint="eastAsia" w:ascii="宋体" w:hAnsi="宋体" w:cs="仿宋_GB2312"/>
                <w:color w:val="auto"/>
                <w:sz w:val="21"/>
                <w:szCs w:val="21"/>
                <w:highlight w:val="none"/>
                <w:lang w:val="zh-CN"/>
              </w:rPr>
              <w:t>%</w:t>
            </w:r>
          </w:p>
        </w:tc>
      </w:tr>
      <w:tr w14:paraId="75F7D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766" w:type="dxa"/>
            <w:vAlign w:val="center"/>
          </w:tcPr>
          <w:p w14:paraId="2991AF7A">
            <w:pPr>
              <w:pStyle w:val="17"/>
              <w:spacing w:line="360" w:lineRule="auto"/>
              <w:contextualSpacing/>
              <w:jc w:val="center"/>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5</w:t>
            </w:r>
          </w:p>
        </w:tc>
        <w:tc>
          <w:tcPr>
            <w:tcW w:w="3003" w:type="dxa"/>
            <w:vAlign w:val="center"/>
          </w:tcPr>
          <w:p w14:paraId="4EA6D4FB">
            <w:pPr>
              <w:pStyle w:val="17"/>
              <w:spacing w:line="360" w:lineRule="auto"/>
              <w:contextualSpacing/>
              <w:jc w:val="left"/>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残疾人福利性单位</w:t>
            </w:r>
          </w:p>
        </w:tc>
        <w:tc>
          <w:tcPr>
            <w:tcW w:w="2714" w:type="dxa"/>
            <w:vAlign w:val="center"/>
          </w:tcPr>
          <w:p w14:paraId="47969D92">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 xml:space="preserve">对残疾人福利性单位产品 价格扣除 </w:t>
            </w:r>
            <w:r>
              <w:rPr>
                <w:rFonts w:hint="eastAsia" w:ascii="宋体" w:hAnsi="宋体" w:cs="仿宋_GB2312"/>
                <w:color w:val="auto"/>
                <w:sz w:val="21"/>
                <w:szCs w:val="21"/>
                <w:highlight w:val="none"/>
              </w:rPr>
              <w:t>20</w:t>
            </w:r>
            <w:r>
              <w:rPr>
                <w:rFonts w:hint="eastAsia" w:ascii="宋体" w:hAnsi="宋体" w:cs="仿宋_GB2312"/>
                <w:color w:val="auto"/>
                <w:sz w:val="21"/>
                <w:szCs w:val="21"/>
                <w:highlight w:val="none"/>
                <w:lang w:val="zh-CN"/>
              </w:rPr>
              <w:t>%</w:t>
            </w:r>
          </w:p>
        </w:tc>
        <w:tc>
          <w:tcPr>
            <w:tcW w:w="2284" w:type="dxa"/>
            <w:vAlign w:val="center"/>
          </w:tcPr>
          <w:p w14:paraId="748CD524">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 xml:space="preserve">评标价格＝投标报价—残疾 人福利性单位产品的价格× </w:t>
            </w:r>
            <w:r>
              <w:rPr>
                <w:rFonts w:hint="eastAsia" w:ascii="宋体" w:hAnsi="宋体" w:cs="仿宋_GB2312"/>
                <w:color w:val="auto"/>
                <w:sz w:val="21"/>
                <w:szCs w:val="21"/>
                <w:highlight w:val="none"/>
              </w:rPr>
              <w:t>20</w:t>
            </w:r>
            <w:r>
              <w:rPr>
                <w:rFonts w:hint="eastAsia" w:ascii="宋体" w:hAnsi="宋体" w:cs="仿宋_GB2312"/>
                <w:color w:val="auto"/>
                <w:sz w:val="21"/>
                <w:szCs w:val="21"/>
                <w:highlight w:val="none"/>
                <w:lang w:val="zh-CN"/>
              </w:rPr>
              <w:t>%</w:t>
            </w:r>
          </w:p>
        </w:tc>
      </w:tr>
      <w:tr w14:paraId="199AF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8767" w:type="dxa"/>
            <w:gridSpan w:val="4"/>
            <w:vAlign w:val="center"/>
          </w:tcPr>
          <w:p w14:paraId="71974C65">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1、中小企业应在投标文件提供《中小企业声明函》。监狱企业应当在投标文件中提供由省级以上监狱管理局、戒毒管理局(含新疆生产建设兵团)出具的属于监狱企业的证明文件。残疾人福利性单位应当在投标文件中提供《残疾人福利性单位声明函》。</w:t>
            </w:r>
          </w:p>
          <w:p w14:paraId="3486D4E5">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2、经评标委员会审查、评价，投标文件符合招标文件实质性要求且进行了政策性价格扣除后，以评标价格的最低价者定为评标基准价，其价格分为满分。其他投标人的价格分统一按下列公式计算。即：</w:t>
            </w:r>
          </w:p>
          <w:p w14:paraId="3FF73A98">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评标基准价=评标价格的最低价</w:t>
            </w:r>
          </w:p>
          <w:p w14:paraId="2E43D16C">
            <w:pPr>
              <w:pStyle w:val="17"/>
              <w:spacing w:line="360" w:lineRule="auto"/>
              <w:contextualSpacing/>
              <w:rPr>
                <w:rFonts w:ascii="宋体" w:hAnsi="宋体" w:cs="仿宋_GB2312"/>
                <w:color w:val="auto"/>
                <w:sz w:val="21"/>
                <w:szCs w:val="21"/>
                <w:highlight w:val="none"/>
                <w:lang w:val="zh-CN"/>
              </w:rPr>
            </w:pPr>
            <w:r>
              <w:rPr>
                <w:rFonts w:hint="eastAsia" w:ascii="宋体" w:hAnsi="宋体" w:cs="仿宋_GB2312"/>
                <w:color w:val="auto"/>
                <w:sz w:val="21"/>
                <w:szCs w:val="21"/>
                <w:highlight w:val="none"/>
                <w:lang w:val="zh-CN"/>
              </w:rPr>
              <w:t>其他投标报价得分=（评标基准价/评标价格）×评标标准中价格分值</w:t>
            </w:r>
          </w:p>
        </w:tc>
      </w:tr>
    </w:tbl>
    <w:p w14:paraId="3C6E59A1">
      <w:pPr>
        <w:pStyle w:val="17"/>
        <w:spacing w:line="360" w:lineRule="auto"/>
        <w:contextualSpacing/>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备注：</w:t>
      </w:r>
    </w:p>
    <w:p w14:paraId="5153FCB4">
      <w:pPr>
        <w:pStyle w:val="17"/>
        <w:spacing w:line="360" w:lineRule="auto"/>
        <w:contextualSpacing/>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zh-CN"/>
        </w:rPr>
        <w:t>对投标人挂靠借用资质、提供虚假业绩、证书投标行为，一经发现，将按照《政府采购法》给与行政处罚，将其列入“中国政府采购网” 政府采购严重违法失信行为记录名单，并予以公示。</w:t>
      </w:r>
    </w:p>
    <w:p w14:paraId="6A6B1B7B">
      <w:pPr>
        <w:pStyle w:val="17"/>
        <w:spacing w:line="360" w:lineRule="auto"/>
        <w:contextualSpacing/>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a、不接受联合体投标的项目，本表中第2项、第3项情形不适用。</w:t>
      </w:r>
    </w:p>
    <w:p w14:paraId="5EACE1D0">
      <w:pPr>
        <w:pStyle w:val="17"/>
        <w:spacing w:line="360" w:lineRule="auto"/>
        <w:contextualSpacing/>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b、小型和微型企业产品包括货物及其提供的服务与工程。</w:t>
      </w:r>
    </w:p>
    <w:p w14:paraId="6D9E2AE1">
      <w:pPr>
        <w:pStyle w:val="17"/>
        <w:spacing w:line="360" w:lineRule="auto"/>
        <w:contextualSpacing/>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c、中小企业、残疾人福利性单位提供其他企业制造的货物的，则该货物的制造商也必须为上述企业，否则不能享受价格优惠。</w:t>
      </w:r>
    </w:p>
    <w:p w14:paraId="489883A4">
      <w:pPr>
        <w:pStyle w:val="17"/>
        <w:spacing w:line="360" w:lineRule="auto"/>
        <w:contextualSpacing/>
        <w:rPr>
          <w:rFonts w:ascii="宋体" w:hAnsi="宋体" w:cs="仿宋_GB2312"/>
          <w:color w:val="auto"/>
          <w:sz w:val="21"/>
          <w:szCs w:val="21"/>
          <w:highlight w:val="none"/>
          <w:lang w:val="en-GB"/>
        </w:rPr>
      </w:pPr>
      <w:r>
        <w:rPr>
          <w:rFonts w:hint="eastAsia" w:ascii="宋体" w:hAnsi="宋体" w:cs="仿宋_GB2312"/>
          <w:color w:val="auto"/>
          <w:sz w:val="21"/>
          <w:szCs w:val="21"/>
          <w:highlight w:val="none"/>
          <w:lang w:val="en-GB"/>
        </w:rPr>
        <w:t>d、残疾人福利性单位属于小型、微型企业的，不重复享受政策。</w:t>
      </w:r>
    </w:p>
    <w:p w14:paraId="646C8485">
      <w:pPr>
        <w:pStyle w:val="17"/>
        <w:spacing w:line="360" w:lineRule="auto"/>
        <w:contextualSpacing/>
        <w:rPr>
          <w:rFonts w:ascii="宋体" w:hAnsi="宋体" w:cs="仿宋_GB2312"/>
          <w:b/>
          <w:color w:val="auto"/>
          <w:sz w:val="21"/>
          <w:szCs w:val="21"/>
          <w:highlight w:val="none"/>
          <w:lang w:val="zh-CN"/>
        </w:rPr>
      </w:pPr>
      <w:r>
        <w:rPr>
          <w:rFonts w:hint="eastAsia" w:ascii="宋体" w:hAnsi="宋体" w:cs="仿宋_GB2312"/>
          <w:b/>
          <w:color w:val="auto"/>
          <w:sz w:val="21"/>
          <w:szCs w:val="21"/>
          <w:highlight w:val="none"/>
          <w:lang w:val="zh-CN"/>
        </w:rPr>
        <w:t>各投标人的最终得分：评标委员会成员对上述各项分别打分、汇总后的算术平均值，采用四舍五入法，保留小数点后二位。</w:t>
      </w:r>
    </w:p>
    <w:p w14:paraId="0A04A249">
      <w:pPr>
        <w:pStyle w:val="17"/>
        <w:spacing w:line="360" w:lineRule="auto"/>
        <w:ind w:firstLine="422" w:firstLineChars="200"/>
        <w:contextualSpacing/>
        <w:rPr>
          <w:rFonts w:ascii="宋体" w:hAnsi="宋体" w:cs="仿宋_GB2312"/>
          <w:color w:val="auto"/>
          <w:sz w:val="21"/>
          <w:szCs w:val="21"/>
          <w:highlight w:val="none"/>
          <w:lang w:val="zh-CN"/>
        </w:rPr>
      </w:pPr>
      <w:r>
        <w:rPr>
          <w:rFonts w:hint="eastAsia" w:ascii="宋体" w:hAnsi="宋体" w:cs="仿宋_GB2312"/>
          <w:b/>
          <w:color w:val="auto"/>
          <w:sz w:val="21"/>
          <w:szCs w:val="21"/>
          <w:highlight w:val="none"/>
          <w:lang w:val="zh-CN"/>
        </w:rPr>
        <w:t>（2）</w:t>
      </w:r>
      <w:r>
        <w:rPr>
          <w:rFonts w:ascii="宋体" w:hAnsi="宋体" w:cs="仿宋_GB2312"/>
          <w:b/>
          <w:color w:val="auto"/>
          <w:sz w:val="21"/>
          <w:szCs w:val="21"/>
          <w:highlight w:val="none"/>
          <w:lang w:val="zh-CN"/>
        </w:rPr>
        <w:t>评</w:t>
      </w:r>
      <w:r>
        <w:rPr>
          <w:rFonts w:hint="eastAsia" w:ascii="宋体" w:hAnsi="宋体" w:cs="仿宋_GB2312"/>
          <w:b/>
          <w:color w:val="auto"/>
          <w:sz w:val="21"/>
          <w:szCs w:val="21"/>
          <w:highlight w:val="none"/>
          <w:lang w:val="zh-CN"/>
        </w:rPr>
        <w:t>分</w:t>
      </w:r>
      <w:r>
        <w:rPr>
          <w:rFonts w:ascii="宋体" w:hAnsi="宋体" w:cs="仿宋_GB2312"/>
          <w:b/>
          <w:color w:val="auto"/>
          <w:sz w:val="21"/>
          <w:szCs w:val="21"/>
          <w:highlight w:val="none"/>
          <w:lang w:val="zh-CN"/>
        </w:rPr>
        <w:t>结果汇总完成后，除下列情形外，</w:t>
      </w:r>
      <w:r>
        <w:rPr>
          <w:rFonts w:hint="eastAsia" w:ascii="宋体" w:hAnsi="宋体" w:cs="仿宋_GB2312"/>
          <w:b/>
          <w:color w:val="auto"/>
          <w:sz w:val="21"/>
          <w:szCs w:val="21"/>
          <w:highlight w:val="none"/>
          <w:lang w:val="zh-CN"/>
        </w:rPr>
        <w:t>不得重新评审</w:t>
      </w:r>
      <w:r>
        <w:rPr>
          <w:rFonts w:ascii="宋体" w:hAnsi="宋体" w:cs="仿宋_GB2312"/>
          <w:b/>
          <w:color w:val="auto"/>
          <w:sz w:val="21"/>
          <w:szCs w:val="21"/>
          <w:highlight w:val="none"/>
          <w:lang w:val="zh-CN"/>
        </w:rPr>
        <w:t>：</w:t>
      </w:r>
    </w:p>
    <w:p w14:paraId="3920B518">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1） 资格性检查认定</w:t>
      </w:r>
      <w:r>
        <w:rPr>
          <w:rFonts w:ascii="宋体" w:hAnsi="宋体" w:cs="仿宋_GB2312"/>
          <w:color w:val="auto"/>
          <w:szCs w:val="21"/>
          <w:highlight w:val="none"/>
          <w:lang w:val="zh-CN"/>
        </w:rPr>
        <w:t>错误的；</w:t>
      </w:r>
    </w:p>
    <w:p w14:paraId="2C1E966C">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 xml:space="preserve">2） </w:t>
      </w:r>
      <w:r>
        <w:rPr>
          <w:rFonts w:ascii="宋体" w:hAnsi="宋体" w:cs="仿宋_GB2312"/>
          <w:color w:val="auto"/>
          <w:szCs w:val="21"/>
          <w:highlight w:val="none"/>
          <w:lang w:val="zh-CN"/>
        </w:rPr>
        <w:t>分值汇总计算错误的；</w:t>
      </w:r>
    </w:p>
    <w:p w14:paraId="46670234">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 xml:space="preserve">3） </w:t>
      </w:r>
      <w:r>
        <w:rPr>
          <w:rFonts w:ascii="宋体" w:hAnsi="宋体" w:cs="仿宋_GB2312"/>
          <w:color w:val="auto"/>
          <w:szCs w:val="21"/>
          <w:highlight w:val="none"/>
          <w:lang w:val="zh-CN"/>
        </w:rPr>
        <w:t>分项评分超出评分标准范围的；</w:t>
      </w:r>
    </w:p>
    <w:p w14:paraId="46616852">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 xml:space="preserve">4） </w:t>
      </w:r>
      <w:r>
        <w:rPr>
          <w:rFonts w:ascii="宋体" w:hAnsi="宋体" w:cs="仿宋_GB2312"/>
          <w:color w:val="auto"/>
          <w:szCs w:val="21"/>
          <w:highlight w:val="none"/>
          <w:lang w:val="zh-CN"/>
        </w:rPr>
        <w:t>客观</w:t>
      </w:r>
      <w:r>
        <w:rPr>
          <w:rFonts w:hint="eastAsia" w:ascii="宋体" w:hAnsi="宋体" w:cs="仿宋_GB2312"/>
          <w:color w:val="auto"/>
          <w:szCs w:val="21"/>
          <w:highlight w:val="none"/>
          <w:lang w:val="zh-CN"/>
        </w:rPr>
        <w:t>分</w:t>
      </w:r>
      <w:r>
        <w:rPr>
          <w:rFonts w:ascii="宋体" w:hAnsi="宋体" w:cs="仿宋_GB2312"/>
          <w:color w:val="auto"/>
          <w:szCs w:val="21"/>
          <w:highlight w:val="none"/>
          <w:lang w:val="zh-CN"/>
        </w:rPr>
        <w:t>评分不一致的；</w:t>
      </w:r>
    </w:p>
    <w:p w14:paraId="1C49B61E">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 xml:space="preserve">5） </w:t>
      </w:r>
      <w:r>
        <w:rPr>
          <w:rFonts w:ascii="宋体" w:hAnsi="宋体" w:cs="仿宋_GB2312"/>
          <w:color w:val="auto"/>
          <w:szCs w:val="21"/>
          <w:highlight w:val="none"/>
          <w:lang w:val="zh-CN"/>
        </w:rPr>
        <w:t>经</w:t>
      </w:r>
      <w:r>
        <w:rPr>
          <w:rFonts w:hint="eastAsia" w:ascii="宋体" w:hAnsi="宋体" w:cs="仿宋_GB2312"/>
          <w:color w:val="auto"/>
          <w:szCs w:val="21"/>
          <w:highlight w:val="none"/>
          <w:lang w:val="zh-CN"/>
        </w:rPr>
        <w:t>磋商小组一致</w:t>
      </w:r>
      <w:r>
        <w:rPr>
          <w:rFonts w:ascii="宋体" w:hAnsi="宋体" w:cs="仿宋_GB2312"/>
          <w:color w:val="auto"/>
          <w:szCs w:val="21"/>
          <w:highlight w:val="none"/>
          <w:lang w:val="zh-CN"/>
        </w:rPr>
        <w:t>认定评分畸高、畸低的。</w:t>
      </w:r>
    </w:p>
    <w:p w14:paraId="1758B70E">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hint="eastAsia" w:ascii="宋体" w:hAnsi="宋体" w:cs="仿宋_GB2312"/>
          <w:color w:val="auto"/>
          <w:szCs w:val="21"/>
          <w:highlight w:val="none"/>
          <w:lang w:val="zh-CN"/>
        </w:rPr>
        <w:t>评审</w:t>
      </w:r>
      <w:r>
        <w:rPr>
          <w:rFonts w:ascii="宋体" w:hAnsi="宋体" w:cs="仿宋_GB2312"/>
          <w:color w:val="auto"/>
          <w:szCs w:val="21"/>
          <w:highlight w:val="none"/>
          <w:lang w:val="zh-CN"/>
        </w:rPr>
        <w:t>报告签署前，经复核发现存在以上情形之一的，</w:t>
      </w:r>
      <w:r>
        <w:rPr>
          <w:rFonts w:hint="eastAsia" w:ascii="宋体" w:hAnsi="宋体" w:cs="仿宋_GB2312"/>
          <w:color w:val="auto"/>
          <w:szCs w:val="21"/>
          <w:highlight w:val="none"/>
          <w:lang w:val="zh-CN"/>
        </w:rPr>
        <w:t>磋商小组</w:t>
      </w:r>
      <w:r>
        <w:rPr>
          <w:rFonts w:ascii="宋体" w:hAnsi="宋体" w:cs="仿宋_GB2312"/>
          <w:color w:val="auto"/>
          <w:szCs w:val="21"/>
          <w:highlight w:val="none"/>
          <w:lang w:val="zh-CN"/>
        </w:rPr>
        <w:t>应当当场修改</w:t>
      </w:r>
      <w:r>
        <w:rPr>
          <w:rFonts w:hint="eastAsia" w:ascii="宋体" w:hAnsi="宋体" w:cs="仿宋_GB2312"/>
          <w:color w:val="auto"/>
          <w:szCs w:val="21"/>
          <w:highlight w:val="none"/>
          <w:lang w:val="zh-CN"/>
        </w:rPr>
        <w:t>评审</w:t>
      </w:r>
      <w:r>
        <w:rPr>
          <w:rFonts w:ascii="宋体" w:hAnsi="宋体" w:cs="仿宋_GB2312"/>
          <w:color w:val="auto"/>
          <w:szCs w:val="21"/>
          <w:highlight w:val="none"/>
          <w:lang w:val="zh-CN"/>
        </w:rPr>
        <w:t>结果，并在</w:t>
      </w:r>
      <w:r>
        <w:rPr>
          <w:rFonts w:hint="eastAsia" w:ascii="宋体" w:hAnsi="宋体" w:cs="仿宋_GB2312"/>
          <w:color w:val="auto"/>
          <w:szCs w:val="21"/>
          <w:highlight w:val="none"/>
          <w:lang w:val="zh-CN"/>
        </w:rPr>
        <w:t>评审</w:t>
      </w:r>
      <w:r>
        <w:rPr>
          <w:rFonts w:ascii="宋体" w:hAnsi="宋体" w:cs="仿宋_GB2312"/>
          <w:color w:val="auto"/>
          <w:szCs w:val="21"/>
          <w:highlight w:val="none"/>
          <w:lang w:val="zh-CN"/>
        </w:rPr>
        <w:t>报告中记载。</w:t>
      </w:r>
    </w:p>
    <w:p w14:paraId="75AF705E">
      <w:pPr>
        <w:pStyle w:val="17"/>
        <w:spacing w:line="360" w:lineRule="auto"/>
        <w:ind w:firstLine="422" w:firstLineChars="200"/>
        <w:contextualSpacing/>
        <w:rPr>
          <w:rFonts w:ascii="宋体" w:hAnsi="宋体" w:cs="仿宋_GB2312"/>
          <w:color w:val="auto"/>
          <w:sz w:val="21"/>
          <w:szCs w:val="21"/>
          <w:highlight w:val="none"/>
          <w:lang w:val="zh-CN"/>
        </w:rPr>
      </w:pPr>
      <w:r>
        <w:rPr>
          <w:rFonts w:hint="eastAsia" w:ascii="宋体" w:hAnsi="宋体" w:cs="仿宋_GB2312"/>
          <w:b/>
          <w:color w:val="auto"/>
          <w:sz w:val="21"/>
          <w:szCs w:val="21"/>
          <w:highlight w:val="none"/>
          <w:lang w:val="zh-CN"/>
        </w:rPr>
        <w:t>（3）推荐成交候选供应商</w:t>
      </w:r>
    </w:p>
    <w:p w14:paraId="714C4A65">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ascii="宋体" w:hAnsi="宋体" w:cs="仿宋_GB2312"/>
          <w:color w:val="auto"/>
          <w:szCs w:val="21"/>
          <w:highlight w:val="none"/>
          <w:lang w:val="zh-CN"/>
        </w:rPr>
        <w:t>磋商小组应当根据综合评分情况，按照评审得分由高到低顺序推荐3名以上成交候选供应商，</w:t>
      </w:r>
      <w:r>
        <w:rPr>
          <w:rFonts w:hint="eastAsia" w:ascii="宋体" w:hAnsi="宋体" w:cs="仿宋_GB2312"/>
          <w:color w:val="auto"/>
          <w:szCs w:val="21"/>
          <w:highlight w:val="none"/>
          <w:lang w:val="zh-CN"/>
        </w:rPr>
        <w:t>并编写评审报告。符合《政府采购竞争性磋商采购方式管理暂行办法》【（财库2014）214号】第二十一条第三款情形的，可以推荐2家成交候选供应商。评审得分相同的，按照最后报价由低到高的顺序推荐。评审得分且最后报价相同的，按照技术指标优劣顺序推荐。</w:t>
      </w:r>
    </w:p>
    <w:p w14:paraId="580EC9FE">
      <w:pPr>
        <w:tabs>
          <w:tab w:val="left" w:pos="1260"/>
        </w:tabs>
        <w:autoSpaceDE w:val="0"/>
        <w:autoSpaceDN w:val="0"/>
        <w:spacing w:line="360" w:lineRule="auto"/>
        <w:ind w:firstLine="422" w:firstLineChars="200"/>
        <w:contextualSpacing/>
        <w:rPr>
          <w:rFonts w:ascii="宋体" w:hAnsi="宋体" w:cs="仿宋_GB2312"/>
          <w:b/>
          <w:color w:val="auto"/>
          <w:szCs w:val="21"/>
          <w:highlight w:val="none"/>
          <w:lang w:val="zh-CN"/>
        </w:rPr>
      </w:pPr>
      <w:r>
        <w:rPr>
          <w:rFonts w:hint="eastAsia" w:ascii="宋体" w:hAnsi="宋体" w:cs="仿宋_GB2312"/>
          <w:b/>
          <w:color w:val="auto"/>
          <w:szCs w:val="21"/>
          <w:highlight w:val="none"/>
          <w:lang w:val="zh-CN"/>
        </w:rPr>
        <w:t>（4）</w:t>
      </w:r>
      <w:r>
        <w:rPr>
          <w:rFonts w:ascii="宋体" w:hAnsi="宋体" w:cs="仿宋_GB2312"/>
          <w:b/>
          <w:color w:val="auto"/>
          <w:szCs w:val="21"/>
          <w:highlight w:val="none"/>
          <w:lang w:val="zh-CN"/>
        </w:rPr>
        <w:t>评标委员会</w:t>
      </w:r>
      <w:r>
        <w:rPr>
          <w:rFonts w:hint="eastAsia" w:ascii="宋体" w:hAnsi="宋体" w:cs="仿宋_GB2312"/>
          <w:b/>
          <w:color w:val="auto"/>
          <w:szCs w:val="21"/>
          <w:highlight w:val="none"/>
          <w:lang w:val="zh-CN"/>
        </w:rPr>
        <w:t>争议处理</w:t>
      </w:r>
    </w:p>
    <w:p w14:paraId="6BD5C11B">
      <w:pPr>
        <w:tabs>
          <w:tab w:val="left" w:pos="1260"/>
        </w:tabs>
        <w:autoSpaceDE w:val="0"/>
        <w:autoSpaceDN w:val="0"/>
        <w:spacing w:line="360" w:lineRule="auto"/>
        <w:ind w:firstLine="420" w:firstLineChars="200"/>
        <w:contextualSpacing/>
        <w:rPr>
          <w:rFonts w:ascii="宋体" w:hAnsi="宋体" w:cs="仿宋_GB2312"/>
          <w:color w:val="auto"/>
          <w:szCs w:val="21"/>
          <w:highlight w:val="none"/>
          <w:lang w:val="zh-CN"/>
        </w:rPr>
      </w:pPr>
      <w:r>
        <w:rPr>
          <w:rFonts w:ascii="宋体" w:hAnsi="宋体" w:cs="仿宋_GB2312"/>
          <w:color w:val="auto"/>
          <w:szCs w:val="21"/>
          <w:highlight w:val="none"/>
          <w:lang w:val="zh-CN"/>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2038A2D4">
      <w:pPr>
        <w:tabs>
          <w:tab w:val="left" w:pos="1260"/>
        </w:tabs>
        <w:autoSpaceDE w:val="0"/>
        <w:autoSpaceDN w:val="0"/>
        <w:spacing w:line="360" w:lineRule="auto"/>
        <w:ind w:firstLine="420" w:firstLineChars="200"/>
        <w:contextualSpacing/>
        <w:jc w:val="center"/>
        <w:rPr>
          <w:rFonts w:ascii="宋体" w:hAnsi="宋体"/>
          <w:b/>
          <w:color w:val="auto"/>
          <w:kern w:val="0"/>
          <w:sz w:val="32"/>
          <w:szCs w:val="32"/>
          <w:highlight w:val="none"/>
        </w:rPr>
      </w:pPr>
      <w:r>
        <w:rPr>
          <w:rFonts w:hint="eastAsia" w:ascii="宋体" w:hAnsi="宋体" w:cs="仿宋_GB2312"/>
          <w:color w:val="auto"/>
          <w:szCs w:val="21"/>
          <w:highlight w:val="none"/>
          <w:lang w:val="zh-CN"/>
        </w:rPr>
        <w:br w:type="page"/>
      </w:r>
      <w:r>
        <w:rPr>
          <w:rFonts w:hint="eastAsia" w:ascii="宋体" w:hAnsi="宋体"/>
          <w:b/>
          <w:color w:val="auto"/>
          <w:kern w:val="0"/>
          <w:sz w:val="32"/>
          <w:szCs w:val="32"/>
          <w:highlight w:val="none"/>
        </w:rPr>
        <w:t>第七章 合同条款及格式</w:t>
      </w:r>
    </w:p>
    <w:p w14:paraId="1121046A">
      <w:pPr>
        <w:pStyle w:val="17"/>
        <w:spacing w:line="360" w:lineRule="auto"/>
        <w:contextualSpacing/>
        <w:jc w:val="center"/>
        <w:rPr>
          <w:rFonts w:ascii="宋体" w:hAnsi="宋体"/>
          <w:b/>
          <w:color w:val="auto"/>
          <w:kern w:val="0"/>
          <w:sz w:val="36"/>
          <w:szCs w:val="36"/>
          <w:highlight w:val="none"/>
        </w:rPr>
      </w:pPr>
    </w:p>
    <w:p w14:paraId="6272DCC2">
      <w:pPr>
        <w:spacing w:line="360" w:lineRule="auto"/>
        <w:jc w:val="center"/>
        <w:rPr>
          <w:rFonts w:ascii="宋体" w:hAnsi="宋体" w:cs="微软雅黑"/>
          <w:b/>
          <w:bCs/>
          <w:color w:val="auto"/>
          <w:szCs w:val="21"/>
          <w:highlight w:val="none"/>
        </w:rPr>
      </w:pPr>
      <w:r>
        <w:rPr>
          <w:rFonts w:hint="eastAsia" w:ascii="宋体" w:hAnsi="宋体" w:cs="微软雅黑"/>
          <w:b/>
          <w:bCs/>
          <w:color w:val="auto"/>
          <w:szCs w:val="21"/>
          <w:highlight w:val="none"/>
        </w:rPr>
        <w:t>（此合同仅供参考。以最终采购人与成交供应商签定的合同条款为准进行公示，</w:t>
      </w:r>
    </w:p>
    <w:p w14:paraId="75E3934C">
      <w:pPr>
        <w:spacing w:line="360" w:lineRule="auto"/>
        <w:jc w:val="center"/>
        <w:rPr>
          <w:rFonts w:ascii="宋体" w:hAnsi="宋体" w:cs="微软雅黑"/>
          <w:b/>
          <w:bCs/>
          <w:color w:val="auto"/>
          <w:szCs w:val="21"/>
          <w:highlight w:val="none"/>
        </w:rPr>
      </w:pPr>
      <w:r>
        <w:rPr>
          <w:rFonts w:hint="eastAsia" w:ascii="宋体" w:hAnsi="宋体" w:cs="微软雅黑"/>
          <w:b/>
          <w:bCs/>
          <w:color w:val="auto"/>
          <w:szCs w:val="21"/>
          <w:highlight w:val="none"/>
        </w:rPr>
        <w:t>最终签定合同的主要条款不能与磋商文件有冲突）</w:t>
      </w:r>
    </w:p>
    <w:p w14:paraId="05A21B3C">
      <w:pPr>
        <w:pStyle w:val="26"/>
        <w:spacing w:before="75" w:after="75"/>
        <w:rPr>
          <w:rFonts w:ascii="微软雅黑" w:hAnsi="微软雅黑" w:eastAsia="微软雅黑"/>
          <w:color w:val="auto"/>
          <w:sz w:val="27"/>
          <w:szCs w:val="27"/>
          <w:highlight w:val="none"/>
        </w:rPr>
      </w:pPr>
      <w:r>
        <w:rPr>
          <w:rFonts w:ascii="宋体" w:hAnsi="宋体" w:eastAsia="微软雅黑"/>
          <w:color w:val="auto"/>
          <w:highlight w:val="none"/>
          <w:u w:val="single"/>
        </w:rPr>
        <w:t> </w:t>
      </w:r>
    </w:p>
    <w:p w14:paraId="2A6782BA">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甲方：</w:t>
      </w:r>
      <w:r>
        <w:rPr>
          <w:rFonts w:ascii="宋体" w:hAnsi="宋体"/>
          <w:color w:val="auto"/>
          <w:sz w:val="21"/>
          <w:szCs w:val="21"/>
          <w:highlight w:val="none"/>
          <w:u w:val="single"/>
        </w:rPr>
        <w:t>（采购人全称）</w:t>
      </w:r>
    </w:p>
    <w:p w14:paraId="0F564757">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乙方：</w:t>
      </w:r>
      <w:r>
        <w:rPr>
          <w:rFonts w:ascii="宋体" w:hAnsi="宋体"/>
          <w:color w:val="auto"/>
          <w:sz w:val="21"/>
          <w:szCs w:val="21"/>
          <w:highlight w:val="none"/>
          <w:u w:val="single"/>
        </w:rPr>
        <w:t>（</w:t>
      </w:r>
      <w:r>
        <w:rPr>
          <w:rFonts w:hint="eastAsia" w:ascii="宋体" w:hAnsi="宋体"/>
          <w:color w:val="auto"/>
          <w:sz w:val="21"/>
          <w:szCs w:val="21"/>
          <w:highlight w:val="none"/>
          <w:u w:val="single"/>
        </w:rPr>
        <w:t>成交供应商</w:t>
      </w:r>
      <w:r>
        <w:rPr>
          <w:rFonts w:ascii="宋体" w:hAnsi="宋体"/>
          <w:color w:val="auto"/>
          <w:sz w:val="21"/>
          <w:szCs w:val="21"/>
          <w:highlight w:val="none"/>
          <w:u w:val="single"/>
        </w:rPr>
        <w:t>全称）</w:t>
      </w:r>
    </w:p>
    <w:p w14:paraId="589E1E46">
      <w:pPr>
        <w:pStyle w:val="26"/>
        <w:spacing w:before="75" w:after="75"/>
        <w:rPr>
          <w:rFonts w:ascii="宋体" w:hAnsi="宋体"/>
          <w:color w:val="auto"/>
          <w:sz w:val="21"/>
          <w:szCs w:val="21"/>
          <w:highlight w:val="none"/>
        </w:rPr>
      </w:pPr>
      <w:r>
        <w:rPr>
          <w:rFonts w:ascii="宋体" w:hAnsi="宋体"/>
          <w:color w:val="auto"/>
          <w:sz w:val="21"/>
          <w:szCs w:val="21"/>
          <w:highlight w:val="none"/>
        </w:rPr>
        <w:t> </w:t>
      </w:r>
    </w:p>
    <w:p w14:paraId="5F61CBAE">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根据招标编号为</w:t>
      </w:r>
      <w:r>
        <w:rPr>
          <w:rFonts w:ascii="宋体" w:hAnsi="宋体"/>
          <w:color w:val="auto"/>
          <w:sz w:val="21"/>
          <w:szCs w:val="21"/>
          <w:highlight w:val="none"/>
          <w:u w:val="single"/>
        </w:rPr>
        <w:t>            </w:t>
      </w:r>
      <w:r>
        <w:rPr>
          <w:rFonts w:ascii="宋体" w:hAnsi="宋体"/>
          <w:color w:val="auto"/>
          <w:sz w:val="21"/>
          <w:szCs w:val="21"/>
          <w:highlight w:val="none"/>
        </w:rPr>
        <w:t>的</w:t>
      </w:r>
      <w:r>
        <w:rPr>
          <w:rFonts w:ascii="宋体" w:hAnsi="宋体"/>
          <w:color w:val="auto"/>
          <w:sz w:val="21"/>
          <w:szCs w:val="21"/>
          <w:highlight w:val="none"/>
          <w:u w:val="single"/>
        </w:rPr>
        <w:t>（填写“项目名称”）</w:t>
      </w:r>
      <w:r>
        <w:rPr>
          <w:rFonts w:ascii="宋体" w:hAnsi="宋体"/>
          <w:color w:val="auto"/>
          <w:sz w:val="21"/>
          <w:szCs w:val="21"/>
          <w:highlight w:val="none"/>
        </w:rPr>
        <w:t>项目（以下简称：“本项目”）的招标结果，乙方为</w:t>
      </w:r>
      <w:r>
        <w:rPr>
          <w:rFonts w:hint="eastAsia" w:ascii="宋体" w:hAnsi="宋体"/>
          <w:color w:val="auto"/>
          <w:sz w:val="21"/>
          <w:szCs w:val="21"/>
          <w:highlight w:val="none"/>
        </w:rPr>
        <w:t>成交供应商</w:t>
      </w:r>
      <w:r>
        <w:rPr>
          <w:rFonts w:ascii="宋体" w:hAnsi="宋体"/>
          <w:color w:val="auto"/>
          <w:sz w:val="21"/>
          <w:szCs w:val="21"/>
          <w:highlight w:val="none"/>
        </w:rPr>
        <w:t>。现经甲乙双方友好协商，就以下事项达成一致并签订本合同：</w:t>
      </w:r>
    </w:p>
    <w:p w14:paraId="653859A2">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1、下列合同文件是构成本合同不可分割的部分：</w:t>
      </w:r>
    </w:p>
    <w:p w14:paraId="0CFD103C">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1.1合同条款；</w:t>
      </w:r>
    </w:p>
    <w:p w14:paraId="72F12F37">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1.2</w:t>
      </w:r>
      <w:r>
        <w:rPr>
          <w:rFonts w:hint="eastAsia" w:ascii="宋体" w:hAnsi="宋体"/>
          <w:color w:val="auto"/>
          <w:sz w:val="21"/>
          <w:szCs w:val="21"/>
          <w:highlight w:val="none"/>
        </w:rPr>
        <w:t>磋商</w:t>
      </w:r>
      <w:r>
        <w:rPr>
          <w:rFonts w:ascii="宋体" w:hAnsi="宋体"/>
          <w:color w:val="auto"/>
          <w:sz w:val="21"/>
          <w:szCs w:val="21"/>
          <w:highlight w:val="none"/>
        </w:rPr>
        <w:t>文件、乙方的</w:t>
      </w:r>
      <w:r>
        <w:rPr>
          <w:rFonts w:hint="eastAsia" w:ascii="宋体" w:hAnsi="宋体"/>
          <w:color w:val="auto"/>
          <w:sz w:val="21"/>
          <w:szCs w:val="21"/>
          <w:highlight w:val="none"/>
        </w:rPr>
        <w:t>响应</w:t>
      </w:r>
      <w:r>
        <w:rPr>
          <w:rFonts w:ascii="宋体" w:hAnsi="宋体"/>
          <w:color w:val="auto"/>
          <w:sz w:val="21"/>
          <w:szCs w:val="21"/>
          <w:highlight w:val="none"/>
        </w:rPr>
        <w:t>文件；</w:t>
      </w:r>
    </w:p>
    <w:p w14:paraId="141FCB72">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1.3其他文件或材料：□无。□</w:t>
      </w:r>
      <w:r>
        <w:rPr>
          <w:rFonts w:ascii="宋体" w:hAnsi="宋体"/>
          <w:color w:val="auto"/>
          <w:sz w:val="21"/>
          <w:szCs w:val="21"/>
          <w:highlight w:val="none"/>
          <w:u w:val="single"/>
        </w:rPr>
        <w:t>（按照实际情况编制填写需要增加的内容）</w:t>
      </w:r>
      <w:r>
        <w:rPr>
          <w:rFonts w:ascii="宋体" w:hAnsi="宋体"/>
          <w:color w:val="auto"/>
          <w:sz w:val="21"/>
          <w:szCs w:val="21"/>
          <w:highlight w:val="none"/>
        </w:rPr>
        <w:t>。</w:t>
      </w:r>
    </w:p>
    <w:p w14:paraId="6716CE9F">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2、合同标的</w:t>
      </w:r>
    </w:p>
    <w:p w14:paraId="3E97DBF0">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（按照实际情况编制填写，可以是表格或文字描述）</w:t>
      </w:r>
      <w:r>
        <w:rPr>
          <w:rFonts w:ascii="宋体" w:hAnsi="宋体"/>
          <w:color w:val="auto"/>
          <w:sz w:val="21"/>
          <w:szCs w:val="21"/>
          <w:highlight w:val="none"/>
        </w:rPr>
        <w:t>。</w:t>
      </w:r>
    </w:p>
    <w:p w14:paraId="66D617CE">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3、合同总金额</w:t>
      </w:r>
    </w:p>
    <w:p w14:paraId="2270A854">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3.1合同总金额为人民币大写：</w:t>
      </w:r>
      <w:r>
        <w:rPr>
          <w:rFonts w:ascii="宋体" w:hAnsi="宋体"/>
          <w:color w:val="auto"/>
          <w:sz w:val="21"/>
          <w:szCs w:val="21"/>
          <w:highlight w:val="none"/>
          <w:u w:val="single"/>
        </w:rPr>
        <w:t>           </w:t>
      </w:r>
      <w:r>
        <w:rPr>
          <w:rFonts w:ascii="宋体" w:hAnsi="宋体"/>
          <w:color w:val="auto"/>
          <w:sz w:val="21"/>
          <w:szCs w:val="21"/>
          <w:highlight w:val="none"/>
        </w:rPr>
        <w:t>元（￥</w:t>
      </w:r>
      <w:r>
        <w:rPr>
          <w:rFonts w:ascii="宋体" w:hAnsi="宋体"/>
          <w:color w:val="auto"/>
          <w:sz w:val="21"/>
          <w:szCs w:val="21"/>
          <w:highlight w:val="none"/>
          <w:u w:val="single"/>
        </w:rPr>
        <w:t>          </w:t>
      </w:r>
      <w:r>
        <w:rPr>
          <w:rFonts w:ascii="宋体" w:hAnsi="宋体"/>
          <w:color w:val="auto"/>
          <w:sz w:val="21"/>
          <w:szCs w:val="21"/>
          <w:highlight w:val="none"/>
        </w:rPr>
        <w:t>）。</w:t>
      </w:r>
    </w:p>
    <w:p w14:paraId="63B4006C">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4、合同标的交付时间、地点和条件</w:t>
      </w:r>
    </w:p>
    <w:p w14:paraId="42E94150">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4.1交付时间：</w:t>
      </w:r>
      <w:r>
        <w:rPr>
          <w:rFonts w:ascii="宋体" w:hAnsi="宋体"/>
          <w:color w:val="auto"/>
          <w:sz w:val="21"/>
          <w:szCs w:val="21"/>
          <w:highlight w:val="none"/>
          <w:u w:val="single"/>
        </w:rPr>
        <w:t>                     </w:t>
      </w:r>
      <w:r>
        <w:rPr>
          <w:rFonts w:ascii="宋体" w:hAnsi="宋体"/>
          <w:color w:val="auto"/>
          <w:sz w:val="21"/>
          <w:szCs w:val="21"/>
          <w:highlight w:val="none"/>
        </w:rPr>
        <w:t>；</w:t>
      </w:r>
    </w:p>
    <w:p w14:paraId="315CA1F2">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4.2交付地点：</w:t>
      </w:r>
      <w:r>
        <w:rPr>
          <w:rFonts w:ascii="宋体" w:hAnsi="宋体"/>
          <w:color w:val="auto"/>
          <w:sz w:val="21"/>
          <w:szCs w:val="21"/>
          <w:highlight w:val="none"/>
          <w:u w:val="single"/>
        </w:rPr>
        <w:t>                     </w:t>
      </w:r>
      <w:r>
        <w:rPr>
          <w:rFonts w:ascii="宋体" w:hAnsi="宋体"/>
          <w:color w:val="auto"/>
          <w:sz w:val="21"/>
          <w:szCs w:val="21"/>
          <w:highlight w:val="none"/>
        </w:rPr>
        <w:t>；</w:t>
      </w:r>
    </w:p>
    <w:p w14:paraId="20F4DF2D">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4.3交付条件：</w:t>
      </w:r>
      <w:r>
        <w:rPr>
          <w:rFonts w:ascii="宋体" w:hAnsi="宋体"/>
          <w:color w:val="auto"/>
          <w:sz w:val="21"/>
          <w:szCs w:val="21"/>
          <w:highlight w:val="none"/>
          <w:u w:val="single"/>
        </w:rPr>
        <w:t>                     </w:t>
      </w:r>
      <w:r>
        <w:rPr>
          <w:rFonts w:ascii="宋体" w:hAnsi="宋体"/>
          <w:color w:val="auto"/>
          <w:sz w:val="21"/>
          <w:szCs w:val="21"/>
          <w:highlight w:val="none"/>
        </w:rPr>
        <w:t>。</w:t>
      </w:r>
    </w:p>
    <w:p w14:paraId="5F309EF1">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5、合同标的应符合</w:t>
      </w:r>
      <w:r>
        <w:rPr>
          <w:rFonts w:hint="eastAsia" w:ascii="宋体" w:hAnsi="宋体"/>
          <w:color w:val="auto"/>
          <w:sz w:val="21"/>
          <w:szCs w:val="21"/>
          <w:highlight w:val="none"/>
        </w:rPr>
        <w:t>磋商</w:t>
      </w:r>
      <w:r>
        <w:rPr>
          <w:rFonts w:ascii="宋体" w:hAnsi="宋体"/>
          <w:color w:val="auto"/>
          <w:sz w:val="21"/>
          <w:szCs w:val="21"/>
          <w:highlight w:val="none"/>
        </w:rPr>
        <w:t>文件、乙方</w:t>
      </w:r>
      <w:r>
        <w:rPr>
          <w:rFonts w:hint="eastAsia" w:ascii="宋体" w:hAnsi="宋体"/>
          <w:color w:val="auto"/>
          <w:sz w:val="21"/>
          <w:szCs w:val="21"/>
          <w:highlight w:val="none"/>
        </w:rPr>
        <w:t>响应</w:t>
      </w:r>
      <w:r>
        <w:rPr>
          <w:rFonts w:ascii="宋体" w:hAnsi="宋体"/>
          <w:color w:val="auto"/>
          <w:sz w:val="21"/>
          <w:szCs w:val="21"/>
          <w:highlight w:val="none"/>
        </w:rPr>
        <w:t>文件的规定或约定，具体如下：</w:t>
      </w:r>
    </w:p>
    <w:p w14:paraId="39E6BA58">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（按照实际情况编制填写，可以是表格或文字描述）</w:t>
      </w:r>
      <w:r>
        <w:rPr>
          <w:rFonts w:ascii="宋体" w:hAnsi="宋体"/>
          <w:color w:val="auto"/>
          <w:sz w:val="21"/>
          <w:szCs w:val="21"/>
          <w:highlight w:val="none"/>
        </w:rPr>
        <w:t>。</w:t>
      </w:r>
    </w:p>
    <w:p w14:paraId="425749A4">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6、验收</w:t>
      </w:r>
    </w:p>
    <w:p w14:paraId="5E3C1344">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6.1验收应按照</w:t>
      </w:r>
      <w:r>
        <w:rPr>
          <w:rFonts w:hint="eastAsia" w:ascii="宋体" w:hAnsi="宋体"/>
          <w:color w:val="auto"/>
          <w:sz w:val="21"/>
          <w:szCs w:val="21"/>
          <w:highlight w:val="none"/>
        </w:rPr>
        <w:t>磋商</w:t>
      </w:r>
      <w:r>
        <w:rPr>
          <w:rFonts w:ascii="宋体" w:hAnsi="宋体"/>
          <w:color w:val="auto"/>
          <w:sz w:val="21"/>
          <w:szCs w:val="21"/>
          <w:highlight w:val="none"/>
        </w:rPr>
        <w:t>文件、乙方</w:t>
      </w:r>
      <w:r>
        <w:rPr>
          <w:rFonts w:hint="eastAsia" w:ascii="宋体" w:hAnsi="宋体"/>
          <w:color w:val="auto"/>
          <w:sz w:val="21"/>
          <w:szCs w:val="21"/>
          <w:highlight w:val="none"/>
        </w:rPr>
        <w:t>响应</w:t>
      </w:r>
      <w:r>
        <w:rPr>
          <w:rFonts w:ascii="宋体" w:hAnsi="宋体"/>
          <w:color w:val="auto"/>
          <w:sz w:val="21"/>
          <w:szCs w:val="21"/>
          <w:highlight w:val="none"/>
        </w:rPr>
        <w:t>文件的规定或约定进行，具体如下：</w:t>
      </w:r>
    </w:p>
    <w:p w14:paraId="2E500FCF">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（按照实际情况编制填写，可以是表格或文字描述）</w:t>
      </w:r>
      <w:r>
        <w:rPr>
          <w:rFonts w:ascii="宋体" w:hAnsi="宋体"/>
          <w:color w:val="auto"/>
          <w:sz w:val="21"/>
          <w:szCs w:val="21"/>
          <w:highlight w:val="none"/>
        </w:rPr>
        <w:t>。</w:t>
      </w:r>
    </w:p>
    <w:p w14:paraId="4AF55ED8">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6.2本项目是否邀请其他投标人参与验收：</w:t>
      </w:r>
    </w:p>
    <w:p w14:paraId="6EB302C7">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□不邀请。□邀请，具体如下：</w:t>
      </w:r>
      <w:r>
        <w:rPr>
          <w:rFonts w:ascii="宋体" w:hAnsi="宋体"/>
          <w:color w:val="auto"/>
          <w:sz w:val="21"/>
          <w:szCs w:val="21"/>
          <w:highlight w:val="none"/>
          <w:u w:val="single"/>
        </w:rPr>
        <w:t>（按照</w:t>
      </w:r>
      <w:r>
        <w:rPr>
          <w:rFonts w:hint="eastAsia" w:ascii="宋体" w:hAnsi="宋体"/>
          <w:color w:val="auto"/>
          <w:sz w:val="21"/>
          <w:szCs w:val="21"/>
          <w:highlight w:val="none"/>
          <w:u w:val="single"/>
        </w:rPr>
        <w:t>磋商</w:t>
      </w:r>
      <w:r>
        <w:rPr>
          <w:rFonts w:ascii="宋体" w:hAnsi="宋体"/>
          <w:color w:val="auto"/>
          <w:sz w:val="21"/>
          <w:szCs w:val="21"/>
          <w:highlight w:val="none"/>
          <w:u w:val="single"/>
        </w:rPr>
        <w:t>文件规定填写）</w:t>
      </w:r>
      <w:r>
        <w:rPr>
          <w:rFonts w:ascii="宋体" w:hAnsi="宋体"/>
          <w:color w:val="auto"/>
          <w:sz w:val="21"/>
          <w:szCs w:val="21"/>
          <w:highlight w:val="none"/>
        </w:rPr>
        <w:t>。</w:t>
      </w:r>
    </w:p>
    <w:p w14:paraId="5CC3B901">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7、合同款项的支付应按照</w:t>
      </w:r>
      <w:r>
        <w:rPr>
          <w:rFonts w:hint="eastAsia" w:ascii="宋体" w:hAnsi="宋体"/>
          <w:color w:val="auto"/>
          <w:sz w:val="21"/>
          <w:szCs w:val="21"/>
          <w:highlight w:val="none"/>
        </w:rPr>
        <w:t>磋商</w:t>
      </w:r>
      <w:r>
        <w:rPr>
          <w:rFonts w:ascii="宋体" w:hAnsi="宋体"/>
          <w:color w:val="auto"/>
          <w:sz w:val="21"/>
          <w:szCs w:val="21"/>
          <w:highlight w:val="none"/>
        </w:rPr>
        <w:t>文件的规定进行，具体如下：</w:t>
      </w:r>
    </w:p>
    <w:p w14:paraId="71EE23C9">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（按照实际情况编制填写，可以是表格或文字描述，包括一次性支付或分期支付等）</w:t>
      </w:r>
      <w:r>
        <w:rPr>
          <w:rFonts w:ascii="宋体" w:hAnsi="宋体"/>
          <w:color w:val="auto"/>
          <w:sz w:val="21"/>
          <w:szCs w:val="21"/>
          <w:highlight w:val="none"/>
        </w:rPr>
        <w:t>。</w:t>
      </w:r>
    </w:p>
    <w:p w14:paraId="636F46FD">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8、履约保证金</w:t>
      </w:r>
    </w:p>
    <w:p w14:paraId="79E372A5">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□无。□有，具体如下：</w:t>
      </w:r>
      <w:r>
        <w:rPr>
          <w:rFonts w:ascii="宋体" w:hAnsi="宋体"/>
          <w:color w:val="auto"/>
          <w:sz w:val="21"/>
          <w:szCs w:val="21"/>
          <w:highlight w:val="none"/>
          <w:u w:val="single"/>
        </w:rPr>
        <w:t>（按照</w:t>
      </w:r>
      <w:r>
        <w:rPr>
          <w:rFonts w:hint="eastAsia" w:ascii="宋体" w:hAnsi="宋体"/>
          <w:color w:val="auto"/>
          <w:sz w:val="21"/>
          <w:szCs w:val="21"/>
          <w:highlight w:val="none"/>
          <w:u w:val="single"/>
        </w:rPr>
        <w:t>磋商</w:t>
      </w:r>
      <w:r>
        <w:rPr>
          <w:rFonts w:ascii="宋体" w:hAnsi="宋体"/>
          <w:color w:val="auto"/>
          <w:sz w:val="21"/>
          <w:szCs w:val="21"/>
          <w:highlight w:val="none"/>
          <w:u w:val="single"/>
        </w:rPr>
        <w:t>文件规定填写）</w:t>
      </w:r>
      <w:r>
        <w:rPr>
          <w:rFonts w:ascii="宋体" w:hAnsi="宋体"/>
          <w:color w:val="auto"/>
          <w:sz w:val="21"/>
          <w:szCs w:val="21"/>
          <w:highlight w:val="none"/>
        </w:rPr>
        <w:t>。</w:t>
      </w:r>
    </w:p>
    <w:p w14:paraId="32452A91">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9、合同有效期</w:t>
      </w:r>
    </w:p>
    <w:p w14:paraId="1784D550">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（按照实际情况编制填写，可以是表格或文字描述）</w:t>
      </w:r>
      <w:r>
        <w:rPr>
          <w:rFonts w:ascii="宋体" w:hAnsi="宋体"/>
          <w:color w:val="auto"/>
          <w:sz w:val="21"/>
          <w:szCs w:val="21"/>
          <w:highlight w:val="none"/>
        </w:rPr>
        <w:t>。</w:t>
      </w:r>
    </w:p>
    <w:p w14:paraId="49557964">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10、违约责任</w:t>
      </w:r>
    </w:p>
    <w:p w14:paraId="0DC36388">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（按照实际情况编制填写，可以是表格或文字描述）</w:t>
      </w:r>
      <w:r>
        <w:rPr>
          <w:rFonts w:ascii="宋体" w:hAnsi="宋体"/>
          <w:color w:val="auto"/>
          <w:sz w:val="21"/>
          <w:szCs w:val="21"/>
          <w:highlight w:val="none"/>
        </w:rPr>
        <w:t>。</w:t>
      </w:r>
    </w:p>
    <w:p w14:paraId="2F70F610">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11、知识产权</w:t>
      </w:r>
    </w:p>
    <w:p w14:paraId="560CF4EE">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14:paraId="7EF56F78">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11.2若乙方提供的采购标的不符合国家知识产权法律、法规的规定或被有关主管机关认定为假冒伪劣品，则乙方中标资格将被取消；甲方还将按照有关法律、法规和规章的规定进行处理，具体如下：</w:t>
      </w:r>
      <w:r>
        <w:rPr>
          <w:rFonts w:ascii="宋体" w:hAnsi="宋体"/>
          <w:color w:val="auto"/>
          <w:sz w:val="21"/>
          <w:szCs w:val="21"/>
          <w:highlight w:val="none"/>
          <w:u w:val="single"/>
        </w:rPr>
        <w:t>（按照实际情况编制填写）</w:t>
      </w:r>
      <w:r>
        <w:rPr>
          <w:rFonts w:ascii="宋体" w:hAnsi="宋体"/>
          <w:color w:val="auto"/>
          <w:sz w:val="21"/>
          <w:szCs w:val="21"/>
          <w:highlight w:val="none"/>
        </w:rPr>
        <w:t>。</w:t>
      </w:r>
    </w:p>
    <w:p w14:paraId="10AF1F2C">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12、解决争议的方法</w:t>
      </w:r>
    </w:p>
    <w:p w14:paraId="0768E62D">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12.1甲、乙双方协商解决。</w:t>
      </w:r>
    </w:p>
    <w:p w14:paraId="652965A1">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12.2若协商解决不成，则通过下列途径之一解决：</w:t>
      </w:r>
    </w:p>
    <w:p w14:paraId="43CD731A">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□提交仲裁委员会仲裁，具体如下：</w:t>
      </w:r>
      <w:r>
        <w:rPr>
          <w:rFonts w:ascii="宋体" w:hAnsi="宋体"/>
          <w:color w:val="auto"/>
          <w:sz w:val="21"/>
          <w:szCs w:val="21"/>
          <w:highlight w:val="none"/>
          <w:u w:val="single"/>
        </w:rPr>
        <w:t>（按照实际情况编制填写）</w:t>
      </w:r>
      <w:r>
        <w:rPr>
          <w:rFonts w:ascii="宋体" w:hAnsi="宋体"/>
          <w:color w:val="auto"/>
          <w:sz w:val="21"/>
          <w:szCs w:val="21"/>
          <w:highlight w:val="none"/>
        </w:rPr>
        <w:t>。</w:t>
      </w:r>
    </w:p>
    <w:p w14:paraId="53AA29D6">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□向人民法院提起诉讼，具体如下：</w:t>
      </w:r>
      <w:r>
        <w:rPr>
          <w:rFonts w:ascii="宋体" w:hAnsi="宋体"/>
          <w:color w:val="auto"/>
          <w:sz w:val="21"/>
          <w:szCs w:val="21"/>
          <w:highlight w:val="none"/>
          <w:u w:val="single"/>
        </w:rPr>
        <w:t>（按照实际情况编制填写）</w:t>
      </w:r>
      <w:r>
        <w:rPr>
          <w:rFonts w:ascii="宋体" w:hAnsi="宋体"/>
          <w:color w:val="auto"/>
          <w:sz w:val="21"/>
          <w:szCs w:val="21"/>
          <w:highlight w:val="none"/>
        </w:rPr>
        <w:t>。</w:t>
      </w:r>
    </w:p>
    <w:p w14:paraId="13AACF0D">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13、不可抗力</w:t>
      </w:r>
    </w:p>
    <w:p w14:paraId="3B592D90">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8E037F9">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13.2本合同中的不可抗力指不能预见、不能避免、不能克服的客观情况，包括但不限于：自然灾害如地震、台风、洪水、火灾及政府行为、法律规定或其适用的变化或其他任何无法预见、避免或控制的事件。</w:t>
      </w:r>
    </w:p>
    <w:p w14:paraId="25960E95">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14、合同条款</w:t>
      </w:r>
    </w:p>
    <w:p w14:paraId="0B28D2E6">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u w:val="single"/>
        </w:rPr>
        <w:t>（按照实际情况编制填写。</w:t>
      </w:r>
      <w:r>
        <w:rPr>
          <w:rFonts w:hint="eastAsia" w:ascii="宋体" w:hAnsi="宋体"/>
          <w:color w:val="auto"/>
          <w:sz w:val="21"/>
          <w:szCs w:val="21"/>
          <w:highlight w:val="none"/>
          <w:u w:val="single"/>
        </w:rPr>
        <w:t>磋商</w:t>
      </w:r>
      <w:r>
        <w:rPr>
          <w:rFonts w:ascii="宋体" w:hAnsi="宋体"/>
          <w:color w:val="auto"/>
          <w:sz w:val="21"/>
          <w:szCs w:val="21"/>
          <w:highlight w:val="none"/>
          <w:u w:val="single"/>
        </w:rPr>
        <w:t>文件第</w:t>
      </w:r>
      <w:r>
        <w:rPr>
          <w:rFonts w:hint="eastAsia" w:ascii="宋体" w:hAnsi="宋体"/>
          <w:color w:val="auto"/>
          <w:sz w:val="21"/>
          <w:szCs w:val="21"/>
          <w:highlight w:val="none"/>
          <w:u w:val="single"/>
        </w:rPr>
        <w:t>二</w:t>
      </w:r>
      <w:r>
        <w:rPr>
          <w:rFonts w:ascii="宋体" w:hAnsi="宋体"/>
          <w:color w:val="auto"/>
          <w:sz w:val="21"/>
          <w:szCs w:val="21"/>
          <w:highlight w:val="none"/>
          <w:u w:val="single"/>
        </w:rPr>
        <w:t>章已有规定的，双方均不得变更或调整；</w:t>
      </w:r>
      <w:r>
        <w:rPr>
          <w:rFonts w:hint="eastAsia" w:ascii="宋体" w:hAnsi="宋体"/>
          <w:color w:val="auto"/>
          <w:sz w:val="21"/>
          <w:szCs w:val="21"/>
          <w:highlight w:val="none"/>
          <w:u w:val="single"/>
        </w:rPr>
        <w:t>磋商</w:t>
      </w:r>
      <w:r>
        <w:rPr>
          <w:rFonts w:ascii="宋体" w:hAnsi="宋体"/>
          <w:color w:val="auto"/>
          <w:sz w:val="21"/>
          <w:szCs w:val="21"/>
          <w:highlight w:val="none"/>
          <w:u w:val="single"/>
        </w:rPr>
        <w:t>文件第</w:t>
      </w:r>
      <w:r>
        <w:rPr>
          <w:rFonts w:hint="eastAsia" w:ascii="宋体" w:hAnsi="宋体"/>
          <w:color w:val="auto"/>
          <w:sz w:val="21"/>
          <w:szCs w:val="21"/>
          <w:highlight w:val="none"/>
          <w:u w:val="single"/>
        </w:rPr>
        <w:t>二</w:t>
      </w:r>
      <w:r>
        <w:rPr>
          <w:rFonts w:ascii="宋体" w:hAnsi="宋体"/>
          <w:color w:val="auto"/>
          <w:sz w:val="21"/>
          <w:szCs w:val="21"/>
          <w:highlight w:val="none"/>
          <w:u w:val="single"/>
        </w:rPr>
        <w:t>章未作规定的，双方可通过友好协商进行约定）</w:t>
      </w:r>
      <w:r>
        <w:rPr>
          <w:rFonts w:ascii="宋体" w:hAnsi="宋体"/>
          <w:color w:val="auto"/>
          <w:sz w:val="21"/>
          <w:szCs w:val="21"/>
          <w:highlight w:val="none"/>
        </w:rPr>
        <w:t>。</w:t>
      </w:r>
    </w:p>
    <w:p w14:paraId="3F81F1A0">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15、其他约定</w:t>
      </w:r>
    </w:p>
    <w:p w14:paraId="01665D2E">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15.1合同文件与本合同具有同等法律效力。</w:t>
      </w:r>
    </w:p>
    <w:p w14:paraId="7D7D54A4">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15.2本合同未尽事宜，双方可另行补充。</w:t>
      </w:r>
    </w:p>
    <w:p w14:paraId="643B3328">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15.3合同生效：自签订之日起生效。</w:t>
      </w:r>
    </w:p>
    <w:p w14:paraId="2809C059">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15.4本合同一式</w:t>
      </w:r>
      <w:r>
        <w:rPr>
          <w:rFonts w:ascii="宋体" w:hAnsi="宋体"/>
          <w:color w:val="auto"/>
          <w:sz w:val="21"/>
          <w:szCs w:val="21"/>
          <w:highlight w:val="none"/>
          <w:u w:val="single"/>
        </w:rPr>
        <w:t>（填写具体份数）</w:t>
      </w:r>
      <w:r>
        <w:rPr>
          <w:rFonts w:ascii="宋体" w:hAnsi="宋体"/>
          <w:color w:val="auto"/>
          <w:sz w:val="21"/>
          <w:szCs w:val="21"/>
          <w:highlight w:val="none"/>
        </w:rPr>
        <w:t>份，经双方授权代表签字并盖章后生效。甲方、乙方各执</w:t>
      </w:r>
      <w:r>
        <w:rPr>
          <w:rFonts w:ascii="宋体" w:hAnsi="宋体"/>
          <w:color w:val="auto"/>
          <w:sz w:val="21"/>
          <w:szCs w:val="21"/>
          <w:highlight w:val="none"/>
          <w:u w:val="single"/>
        </w:rPr>
        <w:t>（填写具体份数）</w:t>
      </w:r>
      <w:r>
        <w:rPr>
          <w:rFonts w:ascii="宋体" w:hAnsi="宋体"/>
          <w:color w:val="auto"/>
          <w:sz w:val="21"/>
          <w:szCs w:val="21"/>
          <w:highlight w:val="none"/>
        </w:rPr>
        <w:t>份，送</w:t>
      </w:r>
      <w:r>
        <w:rPr>
          <w:rFonts w:ascii="宋体" w:hAnsi="宋体"/>
          <w:color w:val="auto"/>
          <w:sz w:val="21"/>
          <w:szCs w:val="21"/>
          <w:highlight w:val="none"/>
          <w:u w:val="single"/>
        </w:rPr>
        <w:t>（填写需要备案的监管部门的全称）</w:t>
      </w:r>
      <w:r>
        <w:rPr>
          <w:rFonts w:ascii="宋体" w:hAnsi="宋体"/>
          <w:color w:val="auto"/>
          <w:sz w:val="21"/>
          <w:szCs w:val="21"/>
          <w:highlight w:val="none"/>
        </w:rPr>
        <w:t>备案</w:t>
      </w:r>
      <w:r>
        <w:rPr>
          <w:rFonts w:ascii="宋体" w:hAnsi="宋体"/>
          <w:color w:val="auto"/>
          <w:sz w:val="21"/>
          <w:szCs w:val="21"/>
          <w:highlight w:val="none"/>
          <w:u w:val="single"/>
        </w:rPr>
        <w:t>（填写具体份数）</w:t>
      </w:r>
      <w:r>
        <w:rPr>
          <w:rFonts w:ascii="宋体" w:hAnsi="宋体"/>
          <w:color w:val="auto"/>
          <w:sz w:val="21"/>
          <w:szCs w:val="21"/>
          <w:highlight w:val="none"/>
        </w:rPr>
        <w:t>份，具有同等效力。</w:t>
      </w:r>
    </w:p>
    <w:p w14:paraId="1C0E0DD5">
      <w:pPr>
        <w:pStyle w:val="26"/>
        <w:spacing w:before="75" w:after="75" w:line="360" w:lineRule="auto"/>
        <w:ind w:firstLine="482"/>
        <w:rPr>
          <w:rFonts w:ascii="宋体" w:hAnsi="宋体"/>
          <w:color w:val="auto"/>
          <w:sz w:val="21"/>
          <w:szCs w:val="21"/>
          <w:highlight w:val="none"/>
        </w:rPr>
      </w:pPr>
      <w:r>
        <w:rPr>
          <w:rFonts w:ascii="宋体" w:hAnsi="宋体"/>
          <w:color w:val="auto"/>
          <w:sz w:val="21"/>
          <w:szCs w:val="21"/>
          <w:highlight w:val="none"/>
        </w:rPr>
        <w:t>15.5其他：□无。□</w:t>
      </w:r>
      <w:r>
        <w:rPr>
          <w:rFonts w:ascii="宋体" w:hAnsi="宋体"/>
          <w:color w:val="auto"/>
          <w:sz w:val="21"/>
          <w:szCs w:val="21"/>
          <w:highlight w:val="none"/>
          <w:u w:val="single"/>
        </w:rPr>
        <w:t>（按照实际情况编制填写需要增加的内容）</w:t>
      </w:r>
      <w:r>
        <w:rPr>
          <w:rFonts w:ascii="宋体" w:hAnsi="宋体"/>
          <w:color w:val="auto"/>
          <w:sz w:val="21"/>
          <w:szCs w:val="21"/>
          <w:highlight w:val="none"/>
        </w:rPr>
        <w:t>。</w:t>
      </w:r>
    </w:p>
    <w:p w14:paraId="4FBBC60F">
      <w:pPr>
        <w:pStyle w:val="26"/>
        <w:spacing w:before="75" w:after="75"/>
        <w:rPr>
          <w:rFonts w:ascii="宋体" w:hAnsi="宋体"/>
          <w:color w:val="auto"/>
          <w:sz w:val="21"/>
          <w:szCs w:val="21"/>
          <w:highlight w:val="none"/>
        </w:rPr>
      </w:pPr>
      <w:r>
        <w:rPr>
          <w:rFonts w:ascii="宋体" w:hAnsi="宋体"/>
          <w:color w:val="auto"/>
          <w:sz w:val="21"/>
          <w:szCs w:val="21"/>
          <w:highlight w:val="none"/>
        </w:rPr>
        <w:t> </w:t>
      </w:r>
    </w:p>
    <w:p w14:paraId="6B63B80A">
      <w:pPr>
        <w:pStyle w:val="26"/>
        <w:spacing w:before="75" w:after="75"/>
        <w:rPr>
          <w:rFonts w:ascii="宋体" w:hAnsi="宋体"/>
          <w:color w:val="auto"/>
          <w:sz w:val="21"/>
          <w:szCs w:val="21"/>
          <w:highlight w:val="none"/>
        </w:rPr>
      </w:pPr>
      <w:r>
        <w:rPr>
          <w:rFonts w:ascii="宋体" w:hAnsi="宋体"/>
          <w:color w:val="auto"/>
          <w:sz w:val="21"/>
          <w:szCs w:val="21"/>
          <w:highlight w:val="none"/>
        </w:rPr>
        <w:t> </w:t>
      </w:r>
    </w:p>
    <w:p w14:paraId="471AF786">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甲方：                        乙方：</w:t>
      </w:r>
    </w:p>
    <w:p w14:paraId="00F74A05">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住所：                        住所：</w:t>
      </w:r>
    </w:p>
    <w:p w14:paraId="2182E7B7">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单位负责人：                     单位负责人：</w:t>
      </w:r>
    </w:p>
    <w:p w14:paraId="092DCAD7">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联系方法：                      联系方法：</w:t>
      </w:r>
    </w:p>
    <w:p w14:paraId="328D8DAD">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开户银行：                      开户银行：</w:t>
      </w:r>
    </w:p>
    <w:p w14:paraId="6DBBAD04">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账号：                        账号：</w:t>
      </w:r>
    </w:p>
    <w:p w14:paraId="0A99BDF5">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 </w:t>
      </w:r>
    </w:p>
    <w:p w14:paraId="44307263">
      <w:pPr>
        <w:pStyle w:val="26"/>
        <w:spacing w:before="75" w:after="75"/>
        <w:rPr>
          <w:rFonts w:ascii="宋体" w:hAnsi="宋体"/>
          <w:color w:val="auto"/>
          <w:sz w:val="21"/>
          <w:szCs w:val="21"/>
          <w:highlight w:val="none"/>
        </w:rPr>
      </w:pPr>
      <w:r>
        <w:rPr>
          <w:rFonts w:ascii="宋体" w:hAnsi="宋体"/>
          <w:color w:val="auto"/>
          <w:sz w:val="21"/>
          <w:szCs w:val="21"/>
          <w:highlight w:val="none"/>
        </w:rPr>
        <w:t> </w:t>
      </w:r>
    </w:p>
    <w:p w14:paraId="3A166813">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签订地点：</w:t>
      </w:r>
      <w:r>
        <w:rPr>
          <w:rFonts w:ascii="宋体" w:hAnsi="宋体"/>
          <w:color w:val="auto"/>
          <w:sz w:val="21"/>
          <w:szCs w:val="21"/>
          <w:highlight w:val="none"/>
          <w:u w:val="single"/>
        </w:rPr>
        <w:t>                </w:t>
      </w:r>
    </w:p>
    <w:p w14:paraId="05D05130">
      <w:pPr>
        <w:pStyle w:val="26"/>
        <w:spacing w:before="75" w:after="75" w:line="360" w:lineRule="auto"/>
        <w:rPr>
          <w:rFonts w:ascii="宋体" w:hAnsi="宋体"/>
          <w:color w:val="auto"/>
          <w:sz w:val="21"/>
          <w:szCs w:val="21"/>
          <w:highlight w:val="none"/>
        </w:rPr>
      </w:pPr>
      <w:r>
        <w:rPr>
          <w:rFonts w:ascii="宋体" w:hAnsi="宋体"/>
          <w:color w:val="auto"/>
          <w:sz w:val="21"/>
          <w:szCs w:val="21"/>
          <w:highlight w:val="none"/>
        </w:rPr>
        <w:t>签订日期：</w:t>
      </w:r>
      <w:r>
        <w:rPr>
          <w:rFonts w:ascii="宋体" w:hAnsi="宋体"/>
          <w:color w:val="auto"/>
          <w:sz w:val="21"/>
          <w:szCs w:val="21"/>
          <w:highlight w:val="none"/>
          <w:u w:val="single"/>
        </w:rPr>
        <w:t>    </w:t>
      </w:r>
      <w:r>
        <w:rPr>
          <w:rFonts w:ascii="宋体" w:hAnsi="宋体"/>
          <w:color w:val="auto"/>
          <w:sz w:val="21"/>
          <w:szCs w:val="21"/>
          <w:highlight w:val="none"/>
        </w:rPr>
        <w:t>年</w:t>
      </w:r>
      <w:r>
        <w:rPr>
          <w:rFonts w:ascii="宋体" w:hAnsi="宋体"/>
          <w:color w:val="auto"/>
          <w:sz w:val="21"/>
          <w:szCs w:val="21"/>
          <w:highlight w:val="none"/>
          <w:u w:val="single"/>
        </w:rPr>
        <w:t>   </w:t>
      </w:r>
      <w:r>
        <w:rPr>
          <w:rFonts w:ascii="宋体" w:hAnsi="宋体"/>
          <w:color w:val="auto"/>
          <w:sz w:val="21"/>
          <w:szCs w:val="21"/>
          <w:highlight w:val="none"/>
        </w:rPr>
        <w:t>月</w:t>
      </w:r>
      <w:r>
        <w:rPr>
          <w:rFonts w:ascii="宋体" w:hAnsi="宋体"/>
          <w:color w:val="auto"/>
          <w:sz w:val="21"/>
          <w:szCs w:val="21"/>
          <w:highlight w:val="none"/>
          <w:u w:val="single"/>
        </w:rPr>
        <w:t>   </w:t>
      </w:r>
      <w:r>
        <w:rPr>
          <w:rFonts w:ascii="宋体" w:hAnsi="宋体"/>
          <w:color w:val="auto"/>
          <w:sz w:val="21"/>
          <w:szCs w:val="21"/>
          <w:highlight w:val="none"/>
        </w:rPr>
        <w:t>日</w:t>
      </w:r>
    </w:p>
    <w:p w14:paraId="2209968A">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58887FC5">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28F509A3">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43B34ABB">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0DF66260">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78D0D5EB">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350CB5CC">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7B11C021">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7F880655">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52962B15">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57148B28">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0D37C985">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789BF06C">
      <w:pPr>
        <w:pStyle w:val="29"/>
        <w:rPr>
          <w:rFonts w:ascii="宋体" w:hAnsi="宋体"/>
          <w:b/>
          <w:color w:val="auto"/>
          <w:kern w:val="0"/>
          <w:sz w:val="32"/>
          <w:szCs w:val="32"/>
          <w:highlight w:val="none"/>
        </w:rPr>
      </w:pPr>
    </w:p>
    <w:p w14:paraId="41E489BD">
      <w:pPr>
        <w:pStyle w:val="29"/>
        <w:rPr>
          <w:rFonts w:ascii="宋体" w:hAnsi="宋体"/>
          <w:b/>
          <w:color w:val="auto"/>
          <w:kern w:val="0"/>
          <w:sz w:val="32"/>
          <w:szCs w:val="32"/>
          <w:highlight w:val="none"/>
        </w:rPr>
      </w:pPr>
    </w:p>
    <w:p w14:paraId="7BF5964E">
      <w:pPr>
        <w:pStyle w:val="29"/>
        <w:rPr>
          <w:rFonts w:ascii="宋体" w:hAnsi="宋体"/>
          <w:b/>
          <w:color w:val="auto"/>
          <w:kern w:val="0"/>
          <w:sz w:val="32"/>
          <w:szCs w:val="32"/>
          <w:highlight w:val="none"/>
        </w:rPr>
      </w:pPr>
    </w:p>
    <w:p w14:paraId="6EF8C4EE">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3E8FB879">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r>
        <w:rPr>
          <w:rFonts w:hint="eastAsia" w:ascii="宋体" w:hAnsi="宋体"/>
          <w:b/>
          <w:color w:val="auto"/>
          <w:kern w:val="0"/>
          <w:sz w:val="32"/>
          <w:szCs w:val="32"/>
          <w:highlight w:val="none"/>
        </w:rPr>
        <w:t>第八章 响应文件有关格式</w:t>
      </w:r>
    </w:p>
    <w:p w14:paraId="03CD63FB">
      <w:pPr>
        <w:autoSpaceDE w:val="0"/>
        <w:autoSpaceDN w:val="0"/>
        <w:adjustRightInd w:val="0"/>
        <w:spacing w:line="700" w:lineRule="exact"/>
        <w:ind w:firstLine="551"/>
        <w:jc w:val="center"/>
        <w:rPr>
          <w:rFonts w:ascii="宋体" w:hAnsi="宋体"/>
          <w:b/>
          <w:color w:val="auto"/>
          <w:kern w:val="0"/>
          <w:sz w:val="28"/>
          <w:szCs w:val="28"/>
          <w:highlight w:val="none"/>
        </w:rPr>
      </w:pPr>
      <w:r>
        <w:rPr>
          <w:rFonts w:hint="eastAsia" w:ascii="宋体" w:hAnsi="宋体"/>
          <w:b/>
          <w:color w:val="auto"/>
          <w:kern w:val="0"/>
          <w:sz w:val="28"/>
          <w:szCs w:val="28"/>
          <w:highlight w:val="none"/>
        </w:rPr>
        <w:t>（如涉及本项目的提供）</w:t>
      </w:r>
    </w:p>
    <w:p w14:paraId="4882C997">
      <w:pPr>
        <w:rPr>
          <w:color w:val="auto"/>
          <w:highlight w:val="none"/>
        </w:rPr>
      </w:pPr>
    </w:p>
    <w:p w14:paraId="73773716">
      <w:pPr>
        <w:jc w:val="right"/>
        <w:rPr>
          <w:rStyle w:val="54"/>
          <w:rFonts w:ascii="宋体" w:hAnsi="宋体"/>
          <w:color w:val="auto"/>
          <w:highlight w:val="none"/>
        </w:rPr>
      </w:pPr>
    </w:p>
    <w:p w14:paraId="77DFD564">
      <w:pPr>
        <w:jc w:val="left"/>
        <w:rPr>
          <w:rStyle w:val="54"/>
          <w:rFonts w:ascii="宋体" w:hAnsi="宋体"/>
          <w:color w:val="auto"/>
          <w:highlight w:val="none"/>
        </w:rPr>
      </w:pPr>
    </w:p>
    <w:p w14:paraId="14FA3D51">
      <w:pPr>
        <w:rPr>
          <w:rFonts w:ascii="宋体" w:hAnsi="宋体" w:cs="微软雅黑"/>
          <w:color w:val="auto"/>
          <w:sz w:val="28"/>
          <w:szCs w:val="28"/>
          <w:highlight w:val="none"/>
          <w:u w:val="single"/>
        </w:rPr>
      </w:pPr>
    </w:p>
    <w:p w14:paraId="1B91CBC6">
      <w:pPr>
        <w:spacing w:line="276" w:lineRule="auto"/>
        <w:jc w:val="center"/>
        <w:rPr>
          <w:rFonts w:ascii="宋体" w:hAnsi="宋体"/>
          <w:b/>
          <w:bCs/>
          <w:color w:val="auto"/>
          <w:sz w:val="40"/>
          <w:szCs w:val="40"/>
          <w:highlight w:val="none"/>
          <w:u w:val="single"/>
        </w:rPr>
      </w:pPr>
      <w:r>
        <w:rPr>
          <w:rFonts w:hint="eastAsia" w:ascii="宋体" w:hAnsi="宋体"/>
          <w:b/>
          <w:bCs/>
          <w:color w:val="auto"/>
          <w:sz w:val="40"/>
          <w:szCs w:val="40"/>
          <w:highlight w:val="none"/>
          <w:u w:val="single"/>
        </w:rPr>
        <w:t xml:space="preserve">             （项目名称）</w:t>
      </w:r>
    </w:p>
    <w:p w14:paraId="6EB648CF">
      <w:pPr>
        <w:jc w:val="center"/>
        <w:rPr>
          <w:rFonts w:ascii="宋体" w:hAnsi="宋体" w:cs="微软雅黑"/>
          <w:color w:val="auto"/>
          <w:sz w:val="28"/>
          <w:szCs w:val="28"/>
          <w:highlight w:val="none"/>
          <w:u w:val="single"/>
        </w:rPr>
      </w:pPr>
    </w:p>
    <w:p w14:paraId="23F4C09E">
      <w:pPr>
        <w:rPr>
          <w:rFonts w:ascii="宋体" w:hAnsi="宋体" w:cs="微软雅黑"/>
          <w:color w:val="auto"/>
          <w:sz w:val="20"/>
          <w:szCs w:val="20"/>
          <w:highlight w:val="none"/>
        </w:rPr>
      </w:pPr>
    </w:p>
    <w:p w14:paraId="1A09BE98">
      <w:pPr>
        <w:rPr>
          <w:rFonts w:ascii="宋体" w:hAnsi="宋体" w:cs="微软雅黑"/>
          <w:color w:val="auto"/>
          <w:sz w:val="20"/>
          <w:szCs w:val="20"/>
          <w:highlight w:val="none"/>
        </w:rPr>
      </w:pPr>
    </w:p>
    <w:p w14:paraId="091E1336">
      <w:pPr>
        <w:jc w:val="center"/>
        <w:rPr>
          <w:rFonts w:ascii="宋体" w:hAnsi="宋体" w:cs="微软雅黑"/>
          <w:color w:val="auto"/>
          <w:sz w:val="72"/>
          <w:szCs w:val="72"/>
          <w:highlight w:val="none"/>
        </w:rPr>
      </w:pPr>
      <w:r>
        <w:rPr>
          <w:rFonts w:hint="eastAsia" w:ascii="宋体" w:hAnsi="宋体" w:cs="微软雅黑"/>
          <w:color w:val="auto"/>
          <w:sz w:val="72"/>
          <w:szCs w:val="72"/>
          <w:highlight w:val="none"/>
        </w:rPr>
        <w:t>投标文件</w:t>
      </w:r>
    </w:p>
    <w:p w14:paraId="60BB36AB">
      <w:pPr>
        <w:rPr>
          <w:rFonts w:ascii="宋体" w:hAnsi="宋体" w:cs="微软雅黑"/>
          <w:color w:val="auto"/>
          <w:sz w:val="28"/>
          <w:szCs w:val="28"/>
          <w:highlight w:val="none"/>
        </w:rPr>
      </w:pPr>
    </w:p>
    <w:p w14:paraId="56F3A4B9">
      <w:pPr>
        <w:ind w:firstLine="3080" w:firstLineChars="1100"/>
        <w:rPr>
          <w:rFonts w:ascii="宋体" w:hAnsi="宋体" w:cs="微软雅黑"/>
          <w:color w:val="auto"/>
          <w:sz w:val="28"/>
          <w:szCs w:val="28"/>
          <w:highlight w:val="none"/>
        </w:rPr>
      </w:pPr>
      <w:r>
        <w:rPr>
          <w:rFonts w:hint="eastAsia" w:ascii="宋体" w:hAnsi="宋体" w:cs="微软雅黑"/>
          <w:color w:val="auto"/>
          <w:sz w:val="28"/>
          <w:szCs w:val="28"/>
          <w:highlight w:val="none"/>
        </w:rPr>
        <w:t>项目编号：</w:t>
      </w:r>
    </w:p>
    <w:p w14:paraId="1CC69EB0">
      <w:pPr>
        <w:pStyle w:val="29"/>
        <w:ind w:firstLine="0" w:firstLineChars="0"/>
        <w:rPr>
          <w:rFonts w:hAnsi="宋体"/>
          <w:color w:val="auto"/>
          <w:highlight w:val="none"/>
        </w:rPr>
      </w:pPr>
    </w:p>
    <w:p w14:paraId="3E5E8F7D">
      <w:pPr>
        <w:pStyle w:val="29"/>
        <w:ind w:firstLine="340"/>
        <w:rPr>
          <w:rFonts w:hAnsi="宋体"/>
          <w:color w:val="auto"/>
          <w:highlight w:val="none"/>
        </w:rPr>
      </w:pPr>
    </w:p>
    <w:p w14:paraId="2160948F">
      <w:pPr>
        <w:rPr>
          <w:rFonts w:ascii="宋体" w:hAnsi="宋体" w:cs="微软雅黑"/>
          <w:color w:val="auto"/>
          <w:sz w:val="28"/>
          <w:szCs w:val="28"/>
          <w:highlight w:val="none"/>
        </w:rPr>
      </w:pPr>
    </w:p>
    <w:p w14:paraId="35102915">
      <w:pPr>
        <w:ind w:left="708" w:leftChars="337"/>
        <w:jc w:val="left"/>
        <w:rPr>
          <w:rFonts w:ascii="宋体" w:hAnsi="宋体" w:cs="微软雅黑"/>
          <w:color w:val="auto"/>
          <w:sz w:val="28"/>
          <w:szCs w:val="28"/>
          <w:highlight w:val="none"/>
          <w:u w:val="single"/>
        </w:rPr>
      </w:pPr>
      <w:r>
        <w:rPr>
          <w:rFonts w:hint="eastAsia" w:ascii="宋体" w:hAnsi="宋体" w:cs="微软雅黑"/>
          <w:color w:val="auto"/>
          <w:sz w:val="28"/>
          <w:szCs w:val="28"/>
          <w:highlight w:val="none"/>
        </w:rPr>
        <w:t>投  标  人：（盖单位章）</w:t>
      </w:r>
    </w:p>
    <w:p w14:paraId="7ECA7877">
      <w:pPr>
        <w:ind w:left="708" w:leftChars="337"/>
        <w:jc w:val="left"/>
        <w:rPr>
          <w:rFonts w:ascii="宋体" w:hAnsi="宋体" w:cs="微软雅黑"/>
          <w:color w:val="auto"/>
          <w:sz w:val="28"/>
          <w:szCs w:val="28"/>
          <w:highlight w:val="none"/>
        </w:rPr>
      </w:pPr>
      <w:r>
        <w:rPr>
          <w:rFonts w:hint="eastAsia" w:ascii="宋体" w:hAnsi="宋体" w:cs="微软雅黑"/>
          <w:color w:val="auto"/>
          <w:sz w:val="28"/>
          <w:szCs w:val="28"/>
          <w:highlight w:val="none"/>
        </w:rPr>
        <w:t>法定代表人或其委托代理人：（签字或盖章）</w:t>
      </w:r>
    </w:p>
    <w:p w14:paraId="3C852DC3">
      <w:pPr>
        <w:ind w:firstLine="3360" w:firstLineChars="1200"/>
        <w:rPr>
          <w:rFonts w:ascii="宋体" w:hAnsi="宋体" w:cs="黑体"/>
          <w:b/>
          <w:bCs/>
          <w:color w:val="auto"/>
          <w:sz w:val="44"/>
          <w:szCs w:val="44"/>
          <w:highlight w:val="none"/>
          <w:lang w:val="zh-CN"/>
        </w:rPr>
      </w:pPr>
      <w:r>
        <w:rPr>
          <w:rFonts w:hint="eastAsia" w:ascii="宋体" w:hAnsi="宋体" w:cs="微软雅黑"/>
          <w:color w:val="auto"/>
          <w:sz w:val="28"/>
          <w:szCs w:val="28"/>
          <w:highlight w:val="none"/>
        </w:rPr>
        <w:t>年月日</w:t>
      </w:r>
    </w:p>
    <w:p w14:paraId="59FD694B">
      <w:pPr>
        <w:tabs>
          <w:tab w:val="left" w:pos="1260"/>
        </w:tabs>
        <w:autoSpaceDE w:val="0"/>
        <w:autoSpaceDN w:val="0"/>
        <w:adjustRightInd w:val="0"/>
        <w:spacing w:line="360" w:lineRule="auto"/>
        <w:contextualSpacing/>
        <w:jc w:val="center"/>
        <w:rPr>
          <w:rFonts w:ascii="宋体" w:hAnsi="宋体"/>
          <w:b/>
          <w:color w:val="auto"/>
          <w:kern w:val="0"/>
          <w:sz w:val="32"/>
          <w:szCs w:val="32"/>
          <w:highlight w:val="none"/>
        </w:rPr>
      </w:pPr>
    </w:p>
    <w:p w14:paraId="6E9F274D">
      <w:pPr>
        <w:tabs>
          <w:tab w:val="left" w:pos="1260"/>
        </w:tabs>
        <w:autoSpaceDE w:val="0"/>
        <w:autoSpaceDN w:val="0"/>
        <w:adjustRightInd w:val="0"/>
        <w:spacing w:line="360" w:lineRule="auto"/>
        <w:ind w:left="424" w:leftChars="202"/>
        <w:contextualSpacing/>
        <w:jc w:val="center"/>
        <w:rPr>
          <w:rFonts w:hint="eastAsia" w:ascii="楷体" w:hAnsi="楷体" w:eastAsia="宋体"/>
          <w:color w:val="auto"/>
          <w:sz w:val="24"/>
          <w:szCs w:val="24"/>
          <w:highlight w:val="none"/>
          <w:lang w:val="en-US" w:eastAsia="zh-CN"/>
        </w:rPr>
      </w:pPr>
      <w:bookmarkStart w:id="20" w:name="_Toc186274126"/>
      <w:bookmarkStart w:id="21" w:name="_Toc184023138"/>
      <w:bookmarkStart w:id="22" w:name="_Toc174185203"/>
      <w:r>
        <w:rPr>
          <w:rFonts w:hint="eastAsia" w:cs="黑体"/>
          <w:color w:val="auto"/>
          <w:sz w:val="28"/>
          <w:szCs w:val="28"/>
          <w:highlight w:val="none"/>
          <w:lang w:val="zh-CN"/>
        </w:rPr>
        <w:br w:type="page"/>
      </w:r>
      <w:r>
        <w:rPr>
          <w:rFonts w:hint="eastAsia" w:ascii="宋体" w:hAnsi="宋体" w:eastAsia="宋体" w:cs="宋体"/>
          <w:b/>
          <w:snapToGrid w:val="0"/>
          <w:color w:val="auto"/>
          <w:kern w:val="0"/>
          <w:sz w:val="28"/>
          <w:szCs w:val="28"/>
          <w:highlight w:val="none"/>
          <w:lang w:val="zh-CN" w:eastAsia="zh-CN" w:bidi="ar-SA"/>
        </w:rPr>
        <w:t>一、</w:t>
      </w:r>
      <w:bookmarkEnd w:id="20"/>
      <w:bookmarkEnd w:id="21"/>
      <w:bookmarkEnd w:id="22"/>
      <w:r>
        <w:rPr>
          <w:rFonts w:hint="eastAsia" w:ascii="宋体" w:hAnsi="宋体" w:eastAsia="宋体" w:cs="宋体"/>
          <w:b/>
          <w:snapToGrid w:val="0"/>
          <w:color w:val="auto"/>
          <w:kern w:val="0"/>
          <w:sz w:val="28"/>
          <w:szCs w:val="28"/>
          <w:highlight w:val="none"/>
          <w:lang w:val="en-US" w:eastAsia="zh-CN" w:bidi="ar-SA"/>
        </w:rPr>
        <w:t>目录</w:t>
      </w:r>
    </w:p>
    <w:p w14:paraId="63C8FF96">
      <w:pPr>
        <w:tabs>
          <w:tab w:val="left" w:pos="1260"/>
        </w:tabs>
        <w:autoSpaceDE w:val="0"/>
        <w:autoSpaceDN w:val="0"/>
        <w:adjustRightInd w:val="0"/>
        <w:spacing w:line="360" w:lineRule="auto"/>
        <w:ind w:left="424" w:leftChars="202"/>
        <w:contextualSpacing/>
        <w:rPr>
          <w:rFonts w:ascii="楷体" w:hAnsi="楷体" w:eastAsia="楷体"/>
          <w:color w:val="auto"/>
          <w:sz w:val="24"/>
          <w:szCs w:val="24"/>
          <w:highlight w:val="none"/>
        </w:rPr>
      </w:pPr>
    </w:p>
    <w:p w14:paraId="523D1B32">
      <w:pPr>
        <w:tabs>
          <w:tab w:val="left" w:pos="1260"/>
        </w:tabs>
        <w:autoSpaceDE w:val="0"/>
        <w:autoSpaceDN w:val="0"/>
        <w:adjustRightInd w:val="0"/>
        <w:spacing w:line="360" w:lineRule="auto"/>
        <w:ind w:left="424" w:leftChars="202"/>
        <w:contextualSpacing/>
        <w:rPr>
          <w:rFonts w:ascii="楷体" w:hAnsi="楷体" w:eastAsia="楷体"/>
          <w:color w:val="auto"/>
          <w:sz w:val="24"/>
          <w:szCs w:val="24"/>
          <w:highlight w:val="none"/>
        </w:rPr>
      </w:pPr>
    </w:p>
    <w:p w14:paraId="4688BBB1">
      <w:pPr>
        <w:tabs>
          <w:tab w:val="left" w:pos="1260"/>
        </w:tabs>
        <w:autoSpaceDE w:val="0"/>
        <w:autoSpaceDN w:val="0"/>
        <w:adjustRightInd w:val="0"/>
        <w:spacing w:line="360" w:lineRule="auto"/>
        <w:ind w:left="424" w:leftChars="202"/>
        <w:contextualSpacing/>
        <w:rPr>
          <w:rFonts w:ascii="楷体" w:hAnsi="楷体" w:eastAsia="楷体"/>
          <w:color w:val="auto"/>
          <w:sz w:val="24"/>
          <w:szCs w:val="24"/>
          <w:highlight w:val="none"/>
        </w:rPr>
      </w:pPr>
    </w:p>
    <w:p w14:paraId="7BB9F391">
      <w:pPr>
        <w:tabs>
          <w:tab w:val="left" w:pos="1260"/>
        </w:tabs>
        <w:autoSpaceDE w:val="0"/>
        <w:autoSpaceDN w:val="0"/>
        <w:adjustRightInd w:val="0"/>
        <w:spacing w:line="360" w:lineRule="auto"/>
        <w:ind w:left="424" w:leftChars="202"/>
        <w:contextualSpacing/>
        <w:rPr>
          <w:rFonts w:ascii="楷体" w:hAnsi="楷体" w:eastAsia="楷体"/>
          <w:color w:val="auto"/>
          <w:sz w:val="24"/>
          <w:szCs w:val="24"/>
          <w:highlight w:val="none"/>
        </w:rPr>
      </w:pPr>
    </w:p>
    <w:p w14:paraId="1A523478">
      <w:pPr>
        <w:tabs>
          <w:tab w:val="left" w:pos="1260"/>
        </w:tabs>
        <w:autoSpaceDE w:val="0"/>
        <w:autoSpaceDN w:val="0"/>
        <w:adjustRightInd w:val="0"/>
        <w:spacing w:line="360" w:lineRule="auto"/>
        <w:ind w:left="424" w:leftChars="202"/>
        <w:contextualSpacing/>
        <w:rPr>
          <w:rFonts w:ascii="楷体" w:hAnsi="楷体" w:eastAsia="楷体"/>
          <w:color w:val="auto"/>
          <w:sz w:val="24"/>
          <w:szCs w:val="24"/>
          <w:highlight w:val="none"/>
        </w:rPr>
      </w:pPr>
    </w:p>
    <w:p w14:paraId="01152124">
      <w:pPr>
        <w:pStyle w:val="3"/>
        <w:numPr>
          <w:ilvl w:val="0"/>
          <w:numId w:val="0"/>
        </w:numPr>
        <w:ind w:left="288"/>
        <w:rPr>
          <w:color w:val="auto"/>
          <w:highlight w:val="none"/>
        </w:rPr>
      </w:pPr>
    </w:p>
    <w:p w14:paraId="5AC1BA57">
      <w:pPr>
        <w:rPr>
          <w:rFonts w:ascii="楷体" w:hAnsi="楷体" w:eastAsia="楷体"/>
          <w:color w:val="auto"/>
          <w:sz w:val="24"/>
          <w:szCs w:val="24"/>
          <w:highlight w:val="none"/>
        </w:rPr>
      </w:pPr>
    </w:p>
    <w:p w14:paraId="6DA6A7AE">
      <w:pPr>
        <w:pStyle w:val="17"/>
        <w:spacing w:line="360" w:lineRule="auto"/>
        <w:jc w:val="center"/>
        <w:rPr>
          <w:rFonts w:hint="eastAsia" w:ascii="宋体" w:hAnsi="宋体"/>
          <w:b/>
          <w:snapToGrid w:val="0"/>
          <w:color w:val="auto"/>
          <w:kern w:val="0"/>
          <w:sz w:val="28"/>
          <w:szCs w:val="28"/>
          <w:highlight w:val="none"/>
        </w:rPr>
      </w:pPr>
    </w:p>
    <w:p w14:paraId="7C1DF18E">
      <w:pPr>
        <w:pStyle w:val="17"/>
        <w:spacing w:line="360" w:lineRule="auto"/>
        <w:jc w:val="center"/>
        <w:rPr>
          <w:rFonts w:hint="eastAsia" w:ascii="宋体" w:hAnsi="宋体"/>
          <w:b/>
          <w:snapToGrid w:val="0"/>
          <w:color w:val="auto"/>
          <w:kern w:val="0"/>
          <w:sz w:val="28"/>
          <w:szCs w:val="28"/>
          <w:highlight w:val="none"/>
        </w:rPr>
      </w:pPr>
    </w:p>
    <w:p w14:paraId="454667BD">
      <w:pPr>
        <w:pStyle w:val="17"/>
        <w:spacing w:line="360" w:lineRule="auto"/>
        <w:jc w:val="center"/>
        <w:rPr>
          <w:rFonts w:hint="eastAsia" w:ascii="宋体" w:hAnsi="宋体"/>
          <w:b/>
          <w:snapToGrid w:val="0"/>
          <w:color w:val="auto"/>
          <w:kern w:val="0"/>
          <w:sz w:val="28"/>
          <w:szCs w:val="28"/>
          <w:highlight w:val="none"/>
        </w:rPr>
      </w:pPr>
    </w:p>
    <w:p w14:paraId="251F91DF">
      <w:pPr>
        <w:pStyle w:val="17"/>
        <w:spacing w:line="360" w:lineRule="auto"/>
        <w:jc w:val="center"/>
        <w:rPr>
          <w:rFonts w:hint="eastAsia" w:ascii="宋体" w:hAnsi="宋体"/>
          <w:b/>
          <w:snapToGrid w:val="0"/>
          <w:color w:val="auto"/>
          <w:kern w:val="0"/>
          <w:sz w:val="28"/>
          <w:szCs w:val="28"/>
          <w:highlight w:val="none"/>
        </w:rPr>
      </w:pPr>
    </w:p>
    <w:p w14:paraId="7C92DDB0">
      <w:pPr>
        <w:pStyle w:val="17"/>
        <w:spacing w:line="360" w:lineRule="auto"/>
        <w:jc w:val="center"/>
        <w:rPr>
          <w:rFonts w:hint="eastAsia" w:ascii="宋体" w:hAnsi="宋体"/>
          <w:b/>
          <w:snapToGrid w:val="0"/>
          <w:color w:val="auto"/>
          <w:kern w:val="0"/>
          <w:sz w:val="28"/>
          <w:szCs w:val="28"/>
          <w:highlight w:val="none"/>
        </w:rPr>
      </w:pPr>
    </w:p>
    <w:p w14:paraId="36BDFEB3">
      <w:pPr>
        <w:pStyle w:val="17"/>
        <w:spacing w:line="360" w:lineRule="auto"/>
        <w:jc w:val="center"/>
        <w:rPr>
          <w:rFonts w:hint="eastAsia" w:ascii="宋体" w:hAnsi="宋体"/>
          <w:b/>
          <w:snapToGrid w:val="0"/>
          <w:color w:val="auto"/>
          <w:kern w:val="0"/>
          <w:sz w:val="28"/>
          <w:szCs w:val="28"/>
          <w:highlight w:val="none"/>
        </w:rPr>
      </w:pPr>
    </w:p>
    <w:p w14:paraId="236AB81B">
      <w:pPr>
        <w:pStyle w:val="17"/>
        <w:spacing w:line="360" w:lineRule="auto"/>
        <w:jc w:val="center"/>
        <w:rPr>
          <w:rFonts w:hint="eastAsia" w:ascii="宋体" w:hAnsi="宋体"/>
          <w:b/>
          <w:snapToGrid w:val="0"/>
          <w:color w:val="auto"/>
          <w:kern w:val="0"/>
          <w:sz w:val="28"/>
          <w:szCs w:val="28"/>
          <w:highlight w:val="none"/>
        </w:rPr>
      </w:pPr>
    </w:p>
    <w:p w14:paraId="7288485D">
      <w:pPr>
        <w:pStyle w:val="17"/>
        <w:spacing w:line="360" w:lineRule="auto"/>
        <w:jc w:val="center"/>
        <w:rPr>
          <w:rFonts w:hint="eastAsia" w:ascii="宋体" w:hAnsi="宋体"/>
          <w:b/>
          <w:snapToGrid w:val="0"/>
          <w:color w:val="auto"/>
          <w:kern w:val="0"/>
          <w:sz w:val="28"/>
          <w:szCs w:val="28"/>
          <w:highlight w:val="none"/>
        </w:rPr>
      </w:pPr>
    </w:p>
    <w:p w14:paraId="4F8445F4">
      <w:pPr>
        <w:pStyle w:val="17"/>
        <w:spacing w:line="360" w:lineRule="auto"/>
        <w:jc w:val="center"/>
        <w:rPr>
          <w:rFonts w:hint="eastAsia" w:ascii="宋体" w:hAnsi="宋体"/>
          <w:b/>
          <w:snapToGrid w:val="0"/>
          <w:color w:val="auto"/>
          <w:kern w:val="0"/>
          <w:sz w:val="28"/>
          <w:szCs w:val="28"/>
          <w:highlight w:val="none"/>
        </w:rPr>
      </w:pPr>
    </w:p>
    <w:p w14:paraId="7C8020FC">
      <w:pPr>
        <w:pStyle w:val="17"/>
        <w:spacing w:line="360" w:lineRule="auto"/>
        <w:jc w:val="center"/>
        <w:rPr>
          <w:rFonts w:hint="eastAsia" w:ascii="宋体" w:hAnsi="宋体"/>
          <w:b/>
          <w:snapToGrid w:val="0"/>
          <w:color w:val="auto"/>
          <w:kern w:val="0"/>
          <w:sz w:val="28"/>
          <w:szCs w:val="28"/>
          <w:highlight w:val="none"/>
        </w:rPr>
      </w:pPr>
    </w:p>
    <w:p w14:paraId="04C81F58">
      <w:pPr>
        <w:pStyle w:val="17"/>
        <w:spacing w:line="360" w:lineRule="auto"/>
        <w:jc w:val="center"/>
        <w:rPr>
          <w:rFonts w:hint="eastAsia" w:ascii="宋体" w:hAnsi="宋体"/>
          <w:b/>
          <w:snapToGrid w:val="0"/>
          <w:color w:val="auto"/>
          <w:kern w:val="0"/>
          <w:sz w:val="28"/>
          <w:szCs w:val="28"/>
          <w:highlight w:val="none"/>
        </w:rPr>
      </w:pPr>
    </w:p>
    <w:p w14:paraId="4B828B95">
      <w:pPr>
        <w:pStyle w:val="17"/>
        <w:spacing w:line="360" w:lineRule="auto"/>
        <w:jc w:val="center"/>
        <w:rPr>
          <w:rFonts w:hint="eastAsia" w:ascii="宋体" w:hAnsi="宋体"/>
          <w:b/>
          <w:snapToGrid w:val="0"/>
          <w:color w:val="auto"/>
          <w:kern w:val="0"/>
          <w:sz w:val="28"/>
          <w:szCs w:val="28"/>
          <w:highlight w:val="none"/>
        </w:rPr>
      </w:pPr>
    </w:p>
    <w:p w14:paraId="2CED181E">
      <w:pPr>
        <w:pStyle w:val="17"/>
        <w:spacing w:line="360" w:lineRule="auto"/>
        <w:jc w:val="center"/>
        <w:rPr>
          <w:rFonts w:hint="eastAsia" w:ascii="宋体" w:hAnsi="宋体"/>
          <w:b/>
          <w:snapToGrid w:val="0"/>
          <w:color w:val="auto"/>
          <w:kern w:val="0"/>
          <w:sz w:val="28"/>
          <w:szCs w:val="28"/>
          <w:highlight w:val="none"/>
        </w:rPr>
      </w:pPr>
    </w:p>
    <w:p w14:paraId="4A147483">
      <w:pPr>
        <w:pStyle w:val="17"/>
        <w:spacing w:line="360" w:lineRule="auto"/>
        <w:jc w:val="center"/>
        <w:rPr>
          <w:rFonts w:ascii="宋体" w:hAnsi="宋体"/>
          <w:b/>
          <w:snapToGrid w:val="0"/>
          <w:color w:val="auto"/>
          <w:kern w:val="0"/>
          <w:sz w:val="28"/>
          <w:szCs w:val="28"/>
          <w:highlight w:val="none"/>
        </w:rPr>
      </w:pPr>
      <w:r>
        <w:rPr>
          <w:rFonts w:hint="eastAsia" w:ascii="宋体" w:hAnsi="宋体"/>
          <w:b/>
          <w:snapToGrid w:val="0"/>
          <w:color w:val="auto"/>
          <w:kern w:val="0"/>
          <w:sz w:val="28"/>
          <w:szCs w:val="28"/>
          <w:highlight w:val="none"/>
        </w:rPr>
        <w:t>二、报价一览表</w:t>
      </w:r>
    </w:p>
    <w:p w14:paraId="6EE3A4B8">
      <w:pPr>
        <w:pStyle w:val="17"/>
        <w:spacing w:line="360" w:lineRule="auto"/>
        <w:jc w:val="center"/>
        <w:rPr>
          <w:rFonts w:ascii="宋体" w:hAnsi="宋体"/>
          <w:b/>
          <w:snapToGrid w:val="0"/>
          <w:color w:val="auto"/>
          <w:kern w:val="0"/>
          <w:sz w:val="28"/>
          <w:szCs w:val="28"/>
          <w:highlight w:val="none"/>
        </w:rPr>
      </w:pPr>
    </w:p>
    <w:p w14:paraId="5C0A6448">
      <w:pPr>
        <w:spacing w:before="50" w:after="156" w:afterLines="50" w:line="360" w:lineRule="auto"/>
        <w:contextualSpacing/>
        <w:jc w:val="left"/>
        <w:rPr>
          <w:rFonts w:ascii="宋体" w:hAnsi="宋体"/>
          <w:color w:val="auto"/>
          <w:szCs w:val="21"/>
          <w:highlight w:val="none"/>
        </w:rPr>
      </w:pPr>
      <w:r>
        <w:rPr>
          <w:rFonts w:hint="eastAsia" w:ascii="宋体" w:hAnsi="宋体"/>
          <w:color w:val="auto"/>
          <w:szCs w:val="21"/>
          <w:highlight w:val="none"/>
        </w:rPr>
        <w:t>项目编号：</w:t>
      </w:r>
    </w:p>
    <w:p w14:paraId="2807E795">
      <w:pPr>
        <w:spacing w:line="360" w:lineRule="auto"/>
        <w:contextualSpacing/>
        <w:rPr>
          <w:rFonts w:ascii="宋体" w:hAnsi="宋体"/>
          <w:color w:val="auto"/>
          <w:szCs w:val="21"/>
          <w:highlight w:val="none"/>
        </w:rPr>
      </w:pPr>
      <w:r>
        <w:rPr>
          <w:rFonts w:hint="eastAsia" w:ascii="宋体" w:hAnsi="宋体"/>
          <w:color w:val="auto"/>
          <w:szCs w:val="21"/>
          <w:highlight w:val="none"/>
        </w:rPr>
        <w:t xml:space="preserve">项目名称：                                                      </w:t>
      </w:r>
      <w:r>
        <w:rPr>
          <w:rFonts w:hint="eastAsia" w:ascii="宋体" w:hAnsi="宋体" w:cs="Arial"/>
          <w:color w:val="auto"/>
          <w:szCs w:val="21"/>
          <w:highlight w:val="none"/>
        </w:rPr>
        <w:t>单位：元</w:t>
      </w:r>
    </w:p>
    <w:tbl>
      <w:tblPr>
        <w:tblStyle w:val="31"/>
        <w:tblW w:w="9180" w:type="dxa"/>
        <w:tblInd w:w="0" w:type="dxa"/>
        <w:tblLayout w:type="fixed"/>
        <w:tblCellMar>
          <w:top w:w="0" w:type="dxa"/>
          <w:left w:w="108" w:type="dxa"/>
          <w:bottom w:w="0" w:type="dxa"/>
          <w:right w:w="108" w:type="dxa"/>
        </w:tblCellMar>
      </w:tblPr>
      <w:tblGrid>
        <w:gridCol w:w="959"/>
        <w:gridCol w:w="1843"/>
        <w:gridCol w:w="3473"/>
        <w:gridCol w:w="2055"/>
        <w:gridCol w:w="850"/>
      </w:tblGrid>
      <w:tr w14:paraId="61905661">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2F2F2"/>
            <w:vAlign w:val="center"/>
          </w:tcPr>
          <w:p w14:paraId="4091F478">
            <w:pPr>
              <w:autoSpaceDE w:val="0"/>
              <w:autoSpaceDN w:val="0"/>
              <w:adjustRightInd w:val="0"/>
              <w:spacing w:line="480" w:lineRule="exact"/>
              <w:jc w:val="center"/>
              <w:rPr>
                <w:rFonts w:hint="eastAsia" w:ascii="宋体" w:hAnsi="宋体" w:eastAsia="宋体"/>
                <w:b/>
                <w:color w:val="auto"/>
                <w:szCs w:val="21"/>
                <w:highlight w:val="none"/>
                <w:lang w:val="zh-CN" w:eastAsia="zh-CN"/>
              </w:rPr>
            </w:pPr>
            <w:r>
              <w:rPr>
                <w:rFonts w:hint="eastAsia" w:ascii="宋体" w:hAnsi="宋体"/>
                <w:b/>
                <w:color w:val="auto"/>
                <w:szCs w:val="21"/>
                <w:highlight w:val="none"/>
                <w:lang w:val="en-US" w:eastAsia="zh-CN"/>
              </w:rPr>
              <w:t>序号</w:t>
            </w:r>
          </w:p>
        </w:tc>
        <w:tc>
          <w:tcPr>
            <w:tcW w:w="1843" w:type="dxa"/>
            <w:tcBorders>
              <w:top w:val="single" w:color="auto" w:sz="6" w:space="0"/>
              <w:left w:val="single" w:color="auto" w:sz="6" w:space="0"/>
              <w:bottom w:val="single" w:color="auto" w:sz="6" w:space="0"/>
              <w:right w:val="single" w:color="auto" w:sz="6" w:space="0"/>
            </w:tcBorders>
            <w:shd w:val="clear" w:color="auto" w:fill="F2F2F2"/>
            <w:vAlign w:val="center"/>
          </w:tcPr>
          <w:p w14:paraId="125ED2EE">
            <w:pPr>
              <w:autoSpaceDE w:val="0"/>
              <w:autoSpaceDN w:val="0"/>
              <w:adjustRightInd w:val="0"/>
              <w:spacing w:line="480" w:lineRule="exact"/>
              <w:jc w:val="center"/>
              <w:rPr>
                <w:rFonts w:ascii="宋体" w:hAnsi="宋体"/>
                <w:b/>
                <w:color w:val="auto"/>
                <w:szCs w:val="21"/>
                <w:highlight w:val="none"/>
                <w:lang w:val="zh-CN"/>
              </w:rPr>
            </w:pPr>
            <w:r>
              <w:rPr>
                <w:rFonts w:hint="eastAsia" w:ascii="宋体" w:hAnsi="宋体"/>
                <w:b/>
                <w:color w:val="auto"/>
                <w:szCs w:val="21"/>
                <w:highlight w:val="none"/>
                <w:lang w:val="zh-CN"/>
              </w:rPr>
              <w:t>项目名称</w:t>
            </w:r>
          </w:p>
        </w:tc>
        <w:tc>
          <w:tcPr>
            <w:tcW w:w="3473" w:type="dxa"/>
            <w:tcBorders>
              <w:top w:val="single" w:color="auto" w:sz="6" w:space="0"/>
              <w:left w:val="single" w:color="auto" w:sz="6" w:space="0"/>
              <w:bottom w:val="single" w:color="auto" w:sz="6" w:space="0"/>
              <w:right w:val="single" w:color="auto" w:sz="6" w:space="0"/>
            </w:tcBorders>
            <w:shd w:val="clear" w:color="auto" w:fill="F2F2F2"/>
            <w:vAlign w:val="center"/>
          </w:tcPr>
          <w:p w14:paraId="6B2247D2">
            <w:pPr>
              <w:autoSpaceDE w:val="0"/>
              <w:autoSpaceDN w:val="0"/>
              <w:adjustRightInd w:val="0"/>
              <w:spacing w:line="480" w:lineRule="exact"/>
              <w:jc w:val="center"/>
              <w:rPr>
                <w:rFonts w:ascii="宋体" w:hAnsi="宋体"/>
                <w:b/>
                <w:color w:val="auto"/>
                <w:szCs w:val="21"/>
                <w:highlight w:val="none"/>
                <w:lang w:val="zh-CN"/>
              </w:rPr>
            </w:pPr>
            <w:r>
              <w:rPr>
                <w:rFonts w:hint="eastAsia" w:ascii="宋体" w:hAnsi="宋体"/>
                <w:b/>
                <w:color w:val="auto"/>
                <w:szCs w:val="21"/>
                <w:highlight w:val="none"/>
              </w:rPr>
              <w:t>投标报价</w:t>
            </w:r>
          </w:p>
        </w:tc>
        <w:tc>
          <w:tcPr>
            <w:tcW w:w="2055" w:type="dxa"/>
            <w:tcBorders>
              <w:top w:val="single" w:color="auto" w:sz="6" w:space="0"/>
              <w:left w:val="single" w:color="auto" w:sz="6" w:space="0"/>
              <w:bottom w:val="single" w:color="auto" w:sz="6" w:space="0"/>
              <w:right w:val="single" w:color="auto" w:sz="6" w:space="0"/>
            </w:tcBorders>
            <w:shd w:val="clear" w:color="auto" w:fill="F2F2F2"/>
            <w:vAlign w:val="center"/>
          </w:tcPr>
          <w:p w14:paraId="4E519D60">
            <w:pPr>
              <w:autoSpaceDE w:val="0"/>
              <w:autoSpaceDN w:val="0"/>
              <w:adjustRightInd w:val="0"/>
              <w:spacing w:line="480" w:lineRule="exact"/>
              <w:jc w:val="center"/>
              <w:rPr>
                <w:rFonts w:ascii="宋体" w:hAnsi="宋体"/>
                <w:b/>
                <w:color w:val="auto"/>
                <w:szCs w:val="21"/>
                <w:highlight w:val="none"/>
              </w:rPr>
            </w:pPr>
            <w:r>
              <w:rPr>
                <w:rFonts w:ascii="宋体" w:hAnsi="宋体"/>
                <w:b/>
                <w:color w:val="auto"/>
                <w:szCs w:val="21"/>
                <w:highlight w:val="none"/>
              </w:rPr>
              <w:t>交付（服务、完工）时间</w:t>
            </w:r>
          </w:p>
        </w:tc>
        <w:tc>
          <w:tcPr>
            <w:tcW w:w="850" w:type="dxa"/>
            <w:tcBorders>
              <w:top w:val="single" w:color="auto" w:sz="6" w:space="0"/>
              <w:left w:val="single" w:color="auto" w:sz="6" w:space="0"/>
              <w:bottom w:val="single" w:color="auto" w:sz="6" w:space="0"/>
              <w:right w:val="single" w:color="auto" w:sz="6" w:space="0"/>
            </w:tcBorders>
            <w:shd w:val="clear" w:color="auto" w:fill="F2F2F2"/>
            <w:vAlign w:val="center"/>
          </w:tcPr>
          <w:p w14:paraId="0CDD775F">
            <w:pPr>
              <w:autoSpaceDE w:val="0"/>
              <w:autoSpaceDN w:val="0"/>
              <w:adjustRightInd w:val="0"/>
              <w:spacing w:line="480" w:lineRule="exact"/>
              <w:jc w:val="center"/>
              <w:rPr>
                <w:rFonts w:ascii="宋体" w:hAnsi="宋体"/>
                <w:b/>
                <w:color w:val="auto"/>
                <w:szCs w:val="21"/>
                <w:highlight w:val="none"/>
                <w:lang w:val="zh-CN"/>
              </w:rPr>
            </w:pPr>
            <w:r>
              <w:rPr>
                <w:rFonts w:hint="eastAsia" w:ascii="宋体" w:hAnsi="宋体"/>
                <w:b/>
                <w:color w:val="auto"/>
                <w:szCs w:val="21"/>
                <w:highlight w:val="none"/>
                <w:lang w:val="zh-CN"/>
              </w:rPr>
              <w:t>备注</w:t>
            </w:r>
          </w:p>
        </w:tc>
      </w:tr>
      <w:tr w14:paraId="620F11F9">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14:paraId="2ADBE4C0">
            <w:pPr>
              <w:autoSpaceDE w:val="0"/>
              <w:autoSpaceDN w:val="0"/>
              <w:adjustRightInd w:val="0"/>
              <w:spacing w:line="480" w:lineRule="exact"/>
              <w:ind w:firstLine="24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1843" w:type="dxa"/>
            <w:tcBorders>
              <w:top w:val="single" w:color="auto" w:sz="6" w:space="0"/>
              <w:left w:val="single" w:color="auto" w:sz="6" w:space="0"/>
              <w:bottom w:val="single" w:color="auto" w:sz="6" w:space="0"/>
              <w:right w:val="single" w:color="auto" w:sz="6" w:space="0"/>
            </w:tcBorders>
            <w:vAlign w:val="center"/>
          </w:tcPr>
          <w:p w14:paraId="68BE3B50">
            <w:pPr>
              <w:autoSpaceDE w:val="0"/>
              <w:autoSpaceDN w:val="0"/>
              <w:adjustRightInd w:val="0"/>
              <w:spacing w:line="480" w:lineRule="exact"/>
              <w:ind w:firstLine="240"/>
              <w:rPr>
                <w:rFonts w:ascii="宋体" w:hAnsi="宋体"/>
                <w:color w:val="auto"/>
                <w:szCs w:val="21"/>
                <w:highlight w:val="none"/>
              </w:rPr>
            </w:pPr>
          </w:p>
        </w:tc>
        <w:tc>
          <w:tcPr>
            <w:tcW w:w="3473" w:type="dxa"/>
            <w:tcBorders>
              <w:top w:val="single" w:color="auto" w:sz="6" w:space="0"/>
              <w:left w:val="single" w:color="auto" w:sz="6" w:space="0"/>
              <w:bottom w:val="single" w:color="auto" w:sz="6" w:space="0"/>
              <w:right w:val="single" w:color="auto" w:sz="6" w:space="0"/>
            </w:tcBorders>
            <w:vAlign w:val="center"/>
          </w:tcPr>
          <w:p w14:paraId="0844F0A8">
            <w:pPr>
              <w:autoSpaceDE w:val="0"/>
              <w:autoSpaceDN w:val="0"/>
              <w:adjustRightInd w:val="0"/>
              <w:spacing w:line="480" w:lineRule="exact"/>
              <w:rPr>
                <w:rFonts w:ascii="宋体" w:hAnsi="宋体"/>
                <w:color w:val="auto"/>
                <w:szCs w:val="21"/>
                <w:highlight w:val="none"/>
                <w:lang w:val="zh-CN"/>
              </w:rPr>
            </w:pPr>
            <w:r>
              <w:rPr>
                <w:rFonts w:hint="eastAsia" w:ascii="宋体" w:hAnsi="宋体"/>
                <w:color w:val="auto"/>
                <w:szCs w:val="21"/>
                <w:highlight w:val="none"/>
                <w:lang w:val="zh-CN"/>
              </w:rPr>
              <w:t>大写：　　　　　　小写：</w:t>
            </w:r>
          </w:p>
        </w:tc>
        <w:tc>
          <w:tcPr>
            <w:tcW w:w="2055" w:type="dxa"/>
            <w:tcBorders>
              <w:top w:val="single" w:color="auto" w:sz="6" w:space="0"/>
              <w:left w:val="single" w:color="auto" w:sz="6" w:space="0"/>
              <w:bottom w:val="single" w:color="auto" w:sz="6" w:space="0"/>
              <w:right w:val="single" w:color="auto" w:sz="6" w:space="0"/>
            </w:tcBorders>
            <w:vAlign w:val="center"/>
          </w:tcPr>
          <w:p w14:paraId="185268D5">
            <w:pPr>
              <w:autoSpaceDE w:val="0"/>
              <w:autoSpaceDN w:val="0"/>
              <w:adjustRightInd w:val="0"/>
              <w:spacing w:line="480" w:lineRule="exact"/>
              <w:ind w:firstLine="240"/>
              <w:rPr>
                <w:rFonts w:ascii="宋体" w:hAnsi="宋体"/>
                <w:color w:val="auto"/>
                <w:szCs w:val="21"/>
                <w:highlight w:val="none"/>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4B214BD6">
            <w:pPr>
              <w:autoSpaceDE w:val="0"/>
              <w:autoSpaceDN w:val="0"/>
              <w:adjustRightInd w:val="0"/>
              <w:spacing w:line="480" w:lineRule="exact"/>
              <w:ind w:firstLine="240"/>
              <w:rPr>
                <w:rFonts w:ascii="宋体" w:hAnsi="宋体"/>
                <w:color w:val="auto"/>
                <w:szCs w:val="21"/>
                <w:highlight w:val="none"/>
                <w:lang w:val="zh-CN"/>
              </w:rPr>
            </w:pPr>
          </w:p>
        </w:tc>
      </w:tr>
      <w:tr w14:paraId="54CF6407">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14:paraId="414DCFE2">
            <w:pPr>
              <w:autoSpaceDE w:val="0"/>
              <w:autoSpaceDN w:val="0"/>
              <w:adjustRightInd w:val="0"/>
              <w:spacing w:line="480" w:lineRule="exact"/>
              <w:ind w:firstLine="240"/>
              <w:rPr>
                <w:rFonts w:ascii="宋体" w:hAnsi="宋体"/>
                <w:color w:val="auto"/>
                <w:szCs w:val="21"/>
                <w:highlight w:val="none"/>
              </w:rPr>
            </w:pPr>
            <w:r>
              <w:rPr>
                <w:rFonts w:ascii="宋体" w:hAnsi="宋体" w:cs="Arial"/>
                <w:color w:val="auto"/>
                <w:szCs w:val="21"/>
                <w:highlight w:val="none"/>
              </w:rPr>
              <w:t>…</w:t>
            </w:r>
          </w:p>
        </w:tc>
        <w:tc>
          <w:tcPr>
            <w:tcW w:w="1843" w:type="dxa"/>
            <w:tcBorders>
              <w:top w:val="single" w:color="auto" w:sz="6" w:space="0"/>
              <w:left w:val="single" w:color="auto" w:sz="6" w:space="0"/>
              <w:bottom w:val="single" w:color="auto" w:sz="6" w:space="0"/>
              <w:right w:val="single" w:color="auto" w:sz="6" w:space="0"/>
            </w:tcBorders>
            <w:vAlign w:val="center"/>
          </w:tcPr>
          <w:p w14:paraId="3F3801BA">
            <w:pPr>
              <w:autoSpaceDE w:val="0"/>
              <w:autoSpaceDN w:val="0"/>
              <w:adjustRightInd w:val="0"/>
              <w:spacing w:line="480" w:lineRule="exact"/>
              <w:ind w:firstLine="240"/>
              <w:rPr>
                <w:rFonts w:ascii="宋体" w:hAnsi="宋体"/>
                <w:color w:val="auto"/>
                <w:szCs w:val="21"/>
                <w:highlight w:val="none"/>
              </w:rPr>
            </w:pPr>
          </w:p>
        </w:tc>
        <w:tc>
          <w:tcPr>
            <w:tcW w:w="3473" w:type="dxa"/>
            <w:tcBorders>
              <w:top w:val="single" w:color="auto" w:sz="6" w:space="0"/>
              <w:left w:val="single" w:color="auto" w:sz="6" w:space="0"/>
              <w:bottom w:val="single" w:color="auto" w:sz="6" w:space="0"/>
              <w:right w:val="single" w:color="auto" w:sz="6" w:space="0"/>
            </w:tcBorders>
            <w:vAlign w:val="center"/>
          </w:tcPr>
          <w:p w14:paraId="095A5880">
            <w:pPr>
              <w:autoSpaceDE w:val="0"/>
              <w:autoSpaceDN w:val="0"/>
              <w:adjustRightInd w:val="0"/>
              <w:spacing w:line="480" w:lineRule="exact"/>
              <w:rPr>
                <w:rFonts w:ascii="宋体" w:hAnsi="宋体"/>
                <w:color w:val="auto"/>
                <w:szCs w:val="21"/>
                <w:highlight w:val="none"/>
                <w:lang w:val="zh-CN"/>
              </w:rPr>
            </w:pPr>
          </w:p>
        </w:tc>
        <w:tc>
          <w:tcPr>
            <w:tcW w:w="2055" w:type="dxa"/>
            <w:tcBorders>
              <w:top w:val="single" w:color="auto" w:sz="6" w:space="0"/>
              <w:left w:val="single" w:color="auto" w:sz="6" w:space="0"/>
              <w:bottom w:val="single" w:color="auto" w:sz="6" w:space="0"/>
              <w:right w:val="single" w:color="auto" w:sz="6" w:space="0"/>
            </w:tcBorders>
            <w:vAlign w:val="center"/>
          </w:tcPr>
          <w:p w14:paraId="54A7CC64">
            <w:pPr>
              <w:autoSpaceDE w:val="0"/>
              <w:autoSpaceDN w:val="0"/>
              <w:adjustRightInd w:val="0"/>
              <w:spacing w:line="480" w:lineRule="exact"/>
              <w:ind w:firstLine="240"/>
              <w:rPr>
                <w:rFonts w:ascii="宋体" w:hAnsi="宋体"/>
                <w:color w:val="auto"/>
                <w:szCs w:val="21"/>
                <w:highlight w:val="none"/>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14:paraId="011B8A8B">
            <w:pPr>
              <w:autoSpaceDE w:val="0"/>
              <w:autoSpaceDN w:val="0"/>
              <w:adjustRightInd w:val="0"/>
              <w:spacing w:line="480" w:lineRule="exact"/>
              <w:ind w:firstLine="240"/>
              <w:rPr>
                <w:rFonts w:ascii="宋体" w:hAnsi="宋体"/>
                <w:color w:val="auto"/>
                <w:szCs w:val="21"/>
                <w:highlight w:val="none"/>
                <w:lang w:val="zh-CN"/>
              </w:rPr>
            </w:pPr>
          </w:p>
        </w:tc>
      </w:tr>
    </w:tbl>
    <w:p w14:paraId="7ABFAF10">
      <w:pPr>
        <w:autoSpaceDE w:val="0"/>
        <w:autoSpaceDN w:val="0"/>
        <w:adjustRightInd w:val="0"/>
        <w:spacing w:line="480" w:lineRule="auto"/>
        <w:rPr>
          <w:rFonts w:ascii="宋体" w:hAnsi="宋体"/>
          <w:color w:val="auto"/>
          <w:szCs w:val="21"/>
          <w:highlight w:val="none"/>
          <w:lang w:val="zh-CN"/>
        </w:rPr>
      </w:pPr>
      <w:r>
        <w:rPr>
          <w:rFonts w:hint="eastAsia" w:ascii="宋体" w:hAnsi="宋体"/>
          <w:color w:val="auto"/>
          <w:szCs w:val="21"/>
          <w:highlight w:val="none"/>
          <w:lang w:val="zh-CN"/>
        </w:rPr>
        <w:t>投标人名称：</w:t>
      </w:r>
      <w:r>
        <w:rPr>
          <w:rFonts w:hint="eastAsia" w:ascii="宋体" w:hAnsi="宋体"/>
          <w:color w:val="auto"/>
          <w:szCs w:val="21"/>
          <w:highlight w:val="none"/>
          <w:u w:val="single"/>
          <w:lang w:val="zh-CN"/>
        </w:rPr>
        <w:t xml:space="preserve">     （全称）   </w:t>
      </w:r>
      <w:r>
        <w:rPr>
          <w:rFonts w:hint="eastAsia" w:ascii="宋体" w:hAnsi="宋体"/>
          <w:color w:val="auto"/>
          <w:szCs w:val="21"/>
          <w:highlight w:val="none"/>
          <w:lang w:val="zh-CN"/>
        </w:rPr>
        <w:t>（公章）：</w:t>
      </w:r>
    </w:p>
    <w:p w14:paraId="5A3DC690">
      <w:pPr>
        <w:autoSpaceDE w:val="0"/>
        <w:autoSpaceDN w:val="0"/>
        <w:adjustRightInd w:val="0"/>
        <w:spacing w:line="480" w:lineRule="auto"/>
        <w:rPr>
          <w:rFonts w:ascii="宋体" w:hAnsi="宋体"/>
          <w:color w:val="auto"/>
          <w:szCs w:val="21"/>
          <w:highlight w:val="none"/>
          <w:lang w:val="zh-CN"/>
        </w:rPr>
      </w:pPr>
      <w:r>
        <w:rPr>
          <w:rFonts w:hint="eastAsia" w:ascii="宋体" w:hAnsi="宋体"/>
          <w:color w:val="auto"/>
          <w:szCs w:val="21"/>
          <w:highlight w:val="none"/>
          <w:lang w:val="zh-CN"/>
        </w:rPr>
        <w:t>投标人法定代表人（单位负责人）或授权代表签字：</w:t>
      </w:r>
    </w:p>
    <w:p w14:paraId="4B093736">
      <w:pPr>
        <w:autoSpaceDE w:val="0"/>
        <w:autoSpaceDN w:val="0"/>
        <w:adjustRightInd w:val="0"/>
        <w:spacing w:line="480" w:lineRule="auto"/>
        <w:rPr>
          <w:rFonts w:ascii="宋体" w:hAnsi="宋体"/>
          <w:color w:val="auto"/>
          <w:szCs w:val="21"/>
          <w:highlight w:val="none"/>
          <w:lang w:val="zh-CN"/>
        </w:rPr>
      </w:pPr>
      <w:r>
        <w:rPr>
          <w:rFonts w:hint="eastAsia" w:ascii="宋体" w:hAnsi="宋体"/>
          <w:color w:val="auto"/>
          <w:szCs w:val="21"/>
          <w:highlight w:val="none"/>
          <w:lang w:val="zh-CN"/>
        </w:rPr>
        <w:t>日期：年月日</w:t>
      </w:r>
    </w:p>
    <w:p w14:paraId="3EAC6B5C">
      <w:pPr>
        <w:autoSpaceDE w:val="0"/>
        <w:autoSpaceDN w:val="0"/>
        <w:adjustRightInd w:val="0"/>
        <w:spacing w:line="480" w:lineRule="auto"/>
        <w:rPr>
          <w:rFonts w:ascii="宋体" w:hAnsi="宋体"/>
          <w:color w:val="auto"/>
          <w:szCs w:val="21"/>
          <w:highlight w:val="none"/>
          <w:lang w:val="zh-CN"/>
        </w:rPr>
      </w:pPr>
      <w:r>
        <w:rPr>
          <w:rFonts w:hint="eastAsia" w:ascii="宋体" w:hAnsi="宋体"/>
          <w:color w:val="auto"/>
          <w:szCs w:val="21"/>
          <w:highlight w:val="none"/>
          <w:lang w:val="zh-CN"/>
        </w:rPr>
        <w:t>注：1、交付日期指完成该项目的最终时间（日历天）。</w:t>
      </w:r>
    </w:p>
    <w:p w14:paraId="78ED4D0F">
      <w:pPr>
        <w:autoSpaceDE w:val="0"/>
        <w:autoSpaceDN w:val="0"/>
        <w:adjustRightInd w:val="0"/>
        <w:spacing w:line="480" w:lineRule="auto"/>
        <w:ind w:firstLine="420" w:firstLineChars="200"/>
        <w:rPr>
          <w:rFonts w:ascii="宋体" w:hAnsi="宋体"/>
          <w:color w:val="auto"/>
          <w:szCs w:val="21"/>
          <w:highlight w:val="none"/>
          <w:lang w:val="zh-CN"/>
        </w:rPr>
      </w:pPr>
    </w:p>
    <w:p w14:paraId="6C79DEB7">
      <w:pPr>
        <w:autoSpaceDE w:val="0"/>
        <w:autoSpaceDN w:val="0"/>
        <w:adjustRightInd w:val="0"/>
        <w:spacing w:line="360" w:lineRule="auto"/>
        <w:rPr>
          <w:rFonts w:ascii="宋体"/>
          <w:color w:val="auto"/>
          <w:sz w:val="24"/>
          <w:highlight w:val="none"/>
          <w:lang w:val="zh-CN"/>
        </w:rPr>
      </w:pPr>
    </w:p>
    <w:p w14:paraId="38727549">
      <w:pPr>
        <w:autoSpaceDE w:val="0"/>
        <w:autoSpaceDN w:val="0"/>
        <w:adjustRightInd w:val="0"/>
        <w:spacing w:line="360" w:lineRule="auto"/>
        <w:rPr>
          <w:rFonts w:ascii="宋体"/>
          <w:color w:val="auto"/>
          <w:sz w:val="24"/>
          <w:highlight w:val="none"/>
          <w:lang w:val="zh-CN"/>
        </w:rPr>
      </w:pPr>
    </w:p>
    <w:p w14:paraId="64738EA8">
      <w:pPr>
        <w:autoSpaceDE w:val="0"/>
        <w:autoSpaceDN w:val="0"/>
        <w:adjustRightInd w:val="0"/>
        <w:spacing w:line="360" w:lineRule="auto"/>
        <w:rPr>
          <w:rFonts w:ascii="宋体"/>
          <w:color w:val="auto"/>
          <w:sz w:val="24"/>
          <w:highlight w:val="none"/>
          <w:lang w:val="zh-CN"/>
        </w:rPr>
      </w:pPr>
    </w:p>
    <w:p w14:paraId="0E2C5422">
      <w:pPr>
        <w:autoSpaceDE w:val="0"/>
        <w:autoSpaceDN w:val="0"/>
        <w:adjustRightInd w:val="0"/>
        <w:spacing w:line="360" w:lineRule="auto"/>
        <w:rPr>
          <w:rFonts w:ascii="宋体"/>
          <w:color w:val="auto"/>
          <w:sz w:val="24"/>
          <w:highlight w:val="none"/>
          <w:lang w:val="zh-CN"/>
        </w:rPr>
      </w:pPr>
    </w:p>
    <w:p w14:paraId="2D1385FF">
      <w:pPr>
        <w:autoSpaceDE w:val="0"/>
        <w:autoSpaceDN w:val="0"/>
        <w:adjustRightInd w:val="0"/>
        <w:spacing w:line="360" w:lineRule="auto"/>
        <w:rPr>
          <w:rFonts w:ascii="宋体"/>
          <w:color w:val="auto"/>
          <w:sz w:val="24"/>
          <w:highlight w:val="none"/>
          <w:lang w:val="zh-CN"/>
        </w:rPr>
      </w:pPr>
    </w:p>
    <w:p w14:paraId="33DE8FF0">
      <w:pPr>
        <w:autoSpaceDE w:val="0"/>
        <w:autoSpaceDN w:val="0"/>
        <w:adjustRightInd w:val="0"/>
        <w:spacing w:line="360" w:lineRule="auto"/>
        <w:rPr>
          <w:rFonts w:ascii="宋体"/>
          <w:color w:val="auto"/>
          <w:sz w:val="24"/>
          <w:highlight w:val="none"/>
          <w:lang w:val="zh-CN"/>
        </w:rPr>
      </w:pPr>
    </w:p>
    <w:p w14:paraId="24E6051B">
      <w:pPr>
        <w:autoSpaceDE w:val="0"/>
        <w:autoSpaceDN w:val="0"/>
        <w:adjustRightInd w:val="0"/>
        <w:spacing w:line="360" w:lineRule="auto"/>
        <w:rPr>
          <w:rFonts w:ascii="宋体"/>
          <w:color w:val="auto"/>
          <w:sz w:val="24"/>
          <w:highlight w:val="none"/>
          <w:lang w:val="zh-CN"/>
        </w:rPr>
      </w:pPr>
    </w:p>
    <w:p w14:paraId="6340FA09">
      <w:pPr>
        <w:pStyle w:val="4"/>
        <w:numPr>
          <w:ilvl w:val="1"/>
          <w:numId w:val="0"/>
        </w:numPr>
        <w:ind w:left="630" w:leftChars="0"/>
        <w:rPr>
          <w:lang w:val="zh-CN"/>
        </w:rPr>
      </w:pPr>
    </w:p>
    <w:p w14:paraId="6B8E70FC">
      <w:pPr>
        <w:rPr>
          <w:color w:val="auto"/>
          <w:highlight w:val="none"/>
          <w:lang w:val="zh-CN"/>
        </w:rPr>
      </w:pPr>
    </w:p>
    <w:p w14:paraId="7883BDB9">
      <w:pPr>
        <w:autoSpaceDE w:val="0"/>
        <w:autoSpaceDN w:val="0"/>
        <w:adjustRightInd w:val="0"/>
        <w:spacing w:line="360" w:lineRule="auto"/>
        <w:jc w:val="center"/>
        <w:rPr>
          <w:rFonts w:ascii="宋体" w:hAnsi="宋体" w:cs="黑体"/>
          <w:b/>
          <w:bCs/>
          <w:color w:val="auto"/>
          <w:sz w:val="28"/>
          <w:szCs w:val="28"/>
          <w:highlight w:val="none"/>
          <w:lang w:val="zh-CN"/>
        </w:rPr>
      </w:pPr>
      <w:r>
        <w:rPr>
          <w:rFonts w:hint="eastAsia" w:ascii="宋体" w:hAnsi="宋体" w:cs="黑体"/>
          <w:b/>
          <w:bCs/>
          <w:color w:val="auto"/>
          <w:sz w:val="28"/>
          <w:szCs w:val="28"/>
          <w:highlight w:val="none"/>
          <w:lang w:val="zh-CN"/>
        </w:rPr>
        <w:t>三、资格审查证明材料</w:t>
      </w:r>
    </w:p>
    <w:p w14:paraId="1ABBFAFC">
      <w:pPr>
        <w:pStyle w:val="17"/>
        <w:spacing w:line="360" w:lineRule="auto"/>
        <w:jc w:val="center"/>
        <w:rPr>
          <w:rFonts w:ascii="宋体" w:hAnsi="宋体"/>
          <w:b/>
          <w:snapToGrid w:val="0"/>
          <w:color w:val="auto"/>
          <w:kern w:val="0"/>
          <w:szCs w:val="24"/>
          <w:highlight w:val="none"/>
        </w:rPr>
      </w:pPr>
      <w:r>
        <w:rPr>
          <w:rFonts w:hint="eastAsia" w:ascii="宋体" w:hAnsi="宋体"/>
          <w:b/>
          <w:snapToGrid w:val="0"/>
          <w:color w:val="auto"/>
          <w:kern w:val="0"/>
          <w:szCs w:val="24"/>
          <w:highlight w:val="none"/>
        </w:rPr>
        <w:t>3.1 磋商响应函</w:t>
      </w:r>
    </w:p>
    <w:p w14:paraId="76AAC105">
      <w:pPr>
        <w:pStyle w:val="17"/>
        <w:spacing w:line="360" w:lineRule="auto"/>
        <w:jc w:val="center"/>
        <w:rPr>
          <w:rFonts w:ascii="宋体" w:hAnsi="宋体"/>
          <w:b/>
          <w:snapToGrid w:val="0"/>
          <w:color w:val="auto"/>
          <w:kern w:val="0"/>
          <w:sz w:val="28"/>
          <w:szCs w:val="28"/>
          <w:highlight w:val="none"/>
        </w:rPr>
      </w:pPr>
    </w:p>
    <w:p w14:paraId="3F9ADD6D">
      <w:pPr>
        <w:adjustRightInd w:val="0"/>
        <w:spacing w:line="360" w:lineRule="auto"/>
        <w:contextualSpacing/>
        <w:rPr>
          <w:rFonts w:ascii="宋体" w:hAnsi="宋体"/>
          <w:b/>
          <w:snapToGrid w:val="0"/>
          <w:color w:val="auto"/>
          <w:kern w:val="0"/>
          <w:szCs w:val="21"/>
          <w:highlight w:val="none"/>
        </w:rPr>
      </w:pPr>
      <w:r>
        <w:rPr>
          <w:rFonts w:hint="eastAsia" w:ascii="宋体" w:hAnsi="宋体"/>
          <w:snapToGrid w:val="0"/>
          <w:color w:val="auto"/>
          <w:kern w:val="0"/>
          <w:szCs w:val="21"/>
          <w:highlight w:val="none"/>
        </w:rPr>
        <w:t>致：</w:t>
      </w:r>
      <w:r>
        <w:rPr>
          <w:rFonts w:hint="eastAsia" w:ascii="宋体" w:hAnsi="宋体"/>
          <w:b/>
          <w:snapToGrid w:val="0"/>
          <w:color w:val="auto"/>
          <w:kern w:val="0"/>
          <w:szCs w:val="21"/>
          <w:highlight w:val="none"/>
        </w:rPr>
        <w:t>（采购人）</w:t>
      </w:r>
    </w:p>
    <w:p w14:paraId="6067244C">
      <w:pPr>
        <w:adjustRightInd w:val="0"/>
        <w:spacing w:line="360" w:lineRule="auto"/>
        <w:ind w:firstLine="420" w:firstLineChars="200"/>
        <w:contextualSpacing/>
        <w:outlineLvl w:val="0"/>
        <w:rPr>
          <w:rFonts w:ascii="宋体" w:hAnsi="宋体"/>
          <w:snapToGrid w:val="0"/>
          <w:color w:val="auto"/>
          <w:kern w:val="0"/>
          <w:szCs w:val="21"/>
          <w:highlight w:val="none"/>
        </w:rPr>
      </w:pPr>
      <w:r>
        <w:rPr>
          <w:rFonts w:hint="eastAsia" w:ascii="宋体" w:hAnsi="宋体"/>
          <w:snapToGrid w:val="0"/>
          <w:color w:val="auto"/>
          <w:kern w:val="0"/>
          <w:szCs w:val="21"/>
          <w:highlight w:val="none"/>
        </w:rPr>
        <w:t>根据贵方_</w:t>
      </w:r>
      <w:r>
        <w:rPr>
          <w:rFonts w:hint="eastAsia" w:ascii="宋体" w:hAnsi="宋体"/>
          <w:snapToGrid w:val="0"/>
          <w:color w:val="auto"/>
          <w:kern w:val="0"/>
          <w:szCs w:val="21"/>
          <w:highlight w:val="none"/>
          <w:u w:val="single"/>
        </w:rPr>
        <w:t xml:space="preserve">_    </w:t>
      </w:r>
      <w:r>
        <w:rPr>
          <w:rFonts w:hint="eastAsia" w:ascii="宋体" w:hAnsi="宋体"/>
          <w:snapToGrid w:val="0"/>
          <w:color w:val="auto"/>
          <w:kern w:val="0"/>
          <w:szCs w:val="21"/>
          <w:highlight w:val="none"/>
        </w:rPr>
        <w:t>_（项目名称、招标编号）采购的磋商公告及采购邀请，_______（姓名和职务）被正式授权并代表供应商（供应商名称、地址）提交。</w:t>
      </w:r>
    </w:p>
    <w:p w14:paraId="066B6915">
      <w:pPr>
        <w:pStyle w:val="17"/>
        <w:adjustRightInd w:val="0"/>
        <w:spacing w:line="360" w:lineRule="auto"/>
        <w:ind w:firstLine="420" w:firstLineChars="200"/>
        <w:contextualSpacing/>
        <w:rPr>
          <w:rFonts w:ascii="宋体" w:hAnsi="宋体"/>
          <w:snapToGrid w:val="0"/>
          <w:color w:val="auto"/>
          <w:kern w:val="0"/>
          <w:sz w:val="21"/>
          <w:szCs w:val="21"/>
          <w:highlight w:val="none"/>
        </w:rPr>
      </w:pPr>
      <w:r>
        <w:rPr>
          <w:rFonts w:hint="eastAsia" w:ascii="宋体" w:hAnsi="宋体"/>
          <w:snapToGrid w:val="0"/>
          <w:color w:val="auto"/>
          <w:kern w:val="0"/>
          <w:sz w:val="21"/>
          <w:szCs w:val="21"/>
          <w:highlight w:val="none"/>
        </w:rPr>
        <w:t>我方确认收到贵方提供的（项目名称、招标编号）磋商文件的全部内容。</w:t>
      </w:r>
    </w:p>
    <w:p w14:paraId="35EB1865">
      <w:pPr>
        <w:pStyle w:val="17"/>
        <w:adjustRightInd w:val="0"/>
        <w:spacing w:line="360" w:lineRule="auto"/>
        <w:ind w:firstLine="420" w:firstLineChars="200"/>
        <w:contextualSpacing/>
        <w:rPr>
          <w:rFonts w:ascii="宋体" w:hAnsi="宋体"/>
          <w:snapToGrid w:val="0"/>
          <w:color w:val="auto"/>
          <w:kern w:val="0"/>
          <w:sz w:val="21"/>
          <w:szCs w:val="21"/>
          <w:highlight w:val="none"/>
        </w:rPr>
      </w:pPr>
      <w:r>
        <w:rPr>
          <w:rFonts w:hint="eastAsia" w:ascii="宋体" w:hAnsi="宋体"/>
          <w:snapToGrid w:val="0"/>
          <w:color w:val="auto"/>
          <w:kern w:val="0"/>
          <w:sz w:val="21"/>
          <w:szCs w:val="21"/>
          <w:highlight w:val="none"/>
        </w:rPr>
        <w:t>我方已详细研究了《磋商文件》的所有内容，包括澄清、修改文件（如果有）和所有已提供的参考资料以及有关附件，我方完全明白并认为此磋商文件没有倾向性，也不存在排斥潜在响应供应商的内容，我方同意磋商文件的相关条款和</w:t>
      </w:r>
      <w:r>
        <w:rPr>
          <w:rFonts w:hint="eastAsia" w:ascii="宋体" w:hAnsi="宋体"/>
          <w:color w:val="auto"/>
          <w:sz w:val="21"/>
          <w:szCs w:val="21"/>
          <w:highlight w:val="none"/>
        </w:rPr>
        <w:t>已完全理解并接受磋商文件的各项规定和要求及资金支付规定，对磋商文件的合理性、合法性不再有异议，并承诺在发生争议时不会以对《磋商文件》存在误解、不明白的条款为由，对贵方行使任何法律上的抗辩权。</w:t>
      </w:r>
    </w:p>
    <w:p w14:paraId="3932FA2E">
      <w:pPr>
        <w:adjustRightInd w:val="0"/>
        <w:spacing w:line="360" w:lineRule="auto"/>
        <w:ind w:firstLine="420" w:firstLineChars="200"/>
        <w:contextualSpacing/>
        <w:rPr>
          <w:rFonts w:ascii="宋体" w:hAnsi="宋体"/>
          <w:snapToGrid w:val="0"/>
          <w:color w:val="auto"/>
          <w:kern w:val="0"/>
          <w:szCs w:val="21"/>
          <w:highlight w:val="none"/>
        </w:rPr>
      </w:pPr>
      <w:r>
        <w:rPr>
          <w:rFonts w:hint="eastAsia" w:ascii="宋体" w:hAnsi="宋体"/>
          <w:i/>
          <w:snapToGrid w:val="0"/>
          <w:color w:val="auto"/>
          <w:kern w:val="0"/>
          <w:szCs w:val="21"/>
          <w:highlight w:val="none"/>
          <w:u w:val="single"/>
        </w:rPr>
        <w:t xml:space="preserve">(供应商名称)     </w:t>
      </w:r>
      <w:r>
        <w:rPr>
          <w:rFonts w:hint="eastAsia" w:ascii="宋体" w:hAnsi="宋体"/>
          <w:snapToGrid w:val="0"/>
          <w:color w:val="auto"/>
          <w:kern w:val="0"/>
          <w:szCs w:val="21"/>
          <w:highlight w:val="none"/>
        </w:rPr>
        <w:t>作为响应供应商正式授权</w:t>
      </w:r>
      <w:r>
        <w:rPr>
          <w:rFonts w:hint="eastAsia" w:ascii="宋体" w:hAnsi="宋体"/>
          <w:i/>
          <w:snapToGrid w:val="0"/>
          <w:color w:val="auto"/>
          <w:kern w:val="0"/>
          <w:szCs w:val="21"/>
          <w:highlight w:val="none"/>
          <w:u w:val="single"/>
        </w:rPr>
        <w:t xml:space="preserve">(授权代表全名, 职务)       </w:t>
      </w:r>
      <w:r>
        <w:rPr>
          <w:rFonts w:hint="eastAsia" w:ascii="宋体" w:hAnsi="宋体"/>
          <w:snapToGrid w:val="0"/>
          <w:color w:val="auto"/>
          <w:kern w:val="0"/>
          <w:szCs w:val="21"/>
          <w:highlight w:val="none"/>
        </w:rPr>
        <w:t>代表我方全权处理有关本项目投标的一切事宜。</w:t>
      </w:r>
    </w:p>
    <w:p w14:paraId="2D7843DA">
      <w:pPr>
        <w:adjustRightInd w:val="0"/>
        <w:spacing w:line="360" w:lineRule="auto"/>
        <w:ind w:firstLine="420" w:firstLineChars="200"/>
        <w:contextualSpacing/>
        <w:rPr>
          <w:rFonts w:ascii="宋体" w:hAnsi="宋体" w:cs="Courier New"/>
          <w:color w:val="auto"/>
          <w:szCs w:val="21"/>
          <w:highlight w:val="none"/>
        </w:rPr>
      </w:pPr>
      <w:r>
        <w:rPr>
          <w:rFonts w:hint="eastAsia" w:ascii="宋体" w:hAnsi="宋体" w:cs="Courier New"/>
          <w:color w:val="auto"/>
          <w:szCs w:val="21"/>
          <w:highlight w:val="none"/>
        </w:rPr>
        <w:t>我方已完全明白磋商文件的所有条款要求，并申明如下：</w:t>
      </w:r>
    </w:p>
    <w:p w14:paraId="54BEE31C">
      <w:pPr>
        <w:adjustRightInd w:val="0"/>
        <w:spacing w:line="360" w:lineRule="auto"/>
        <w:ind w:firstLine="420" w:firstLineChars="200"/>
        <w:contextualSpacing/>
        <w:rPr>
          <w:rFonts w:ascii="宋体" w:hAnsi="宋体" w:cs="Courier New"/>
          <w:color w:val="auto"/>
          <w:szCs w:val="21"/>
          <w:highlight w:val="none"/>
        </w:rPr>
      </w:pPr>
      <w:r>
        <w:rPr>
          <w:rFonts w:hint="eastAsia" w:ascii="宋体" w:hAnsi="宋体" w:cs="Courier New"/>
          <w:color w:val="auto"/>
          <w:szCs w:val="21"/>
          <w:highlight w:val="none"/>
        </w:rPr>
        <w:t>一、按磋商文件提供的全部货物与相关服务的报价总价详见《报价一览表》。</w:t>
      </w:r>
    </w:p>
    <w:p w14:paraId="252C0CD2">
      <w:pPr>
        <w:adjustRightInd w:val="0"/>
        <w:spacing w:line="360" w:lineRule="auto"/>
        <w:ind w:firstLine="420" w:firstLineChars="200"/>
        <w:contextualSpacing/>
        <w:rPr>
          <w:rFonts w:ascii="宋体" w:hAnsi="宋体" w:cs="Courier New"/>
          <w:color w:val="auto"/>
          <w:szCs w:val="21"/>
          <w:highlight w:val="none"/>
        </w:rPr>
      </w:pPr>
      <w:r>
        <w:rPr>
          <w:rFonts w:hint="eastAsia" w:ascii="宋体" w:hAnsi="宋体" w:cs="Courier New"/>
          <w:color w:val="auto"/>
          <w:szCs w:val="21"/>
          <w:highlight w:val="none"/>
        </w:rPr>
        <w:t>二、</w:t>
      </w:r>
      <w:r>
        <w:rPr>
          <w:rFonts w:hint="eastAsia" w:ascii="宋体" w:hAnsi="宋体"/>
          <w:color w:val="auto"/>
          <w:szCs w:val="21"/>
          <w:highlight w:val="none"/>
        </w:rPr>
        <w:t>我方同意在本项目磋商文件中规定的开标日起 天内遵守本磋商文件中的承诺且在此期限期满之前均具有约束力。我方同意并遵守本磋商文件“供应商须知”中第十四条第三款关于延长响应有效期的规定。</w:t>
      </w:r>
      <w:r>
        <w:rPr>
          <w:rFonts w:hint="eastAsia" w:ascii="宋体" w:hAnsi="宋体" w:cs="Courier New"/>
          <w:color w:val="auto"/>
          <w:szCs w:val="21"/>
          <w:highlight w:val="none"/>
        </w:rPr>
        <w:t>如成交，有效期将延至供货终止日为止。在此提交的资格证明文件均至响应截止日有效，如有在响应有效期内失效的，我方承诺在成交后补齐一切手续，保证所有资格证明文件能在签订采购合同时直至采购合同终止日有效。</w:t>
      </w:r>
    </w:p>
    <w:p w14:paraId="281DE7FE">
      <w:pPr>
        <w:pStyle w:val="26"/>
        <w:adjustRightInd w:val="0"/>
        <w:spacing w:line="360" w:lineRule="auto"/>
        <w:ind w:firstLine="420" w:firstLineChars="200"/>
        <w:contextualSpacing/>
        <w:rPr>
          <w:rFonts w:ascii="宋体" w:hAnsi="宋体" w:cs="Courier New"/>
          <w:color w:val="auto"/>
          <w:sz w:val="21"/>
          <w:szCs w:val="21"/>
          <w:highlight w:val="none"/>
        </w:rPr>
      </w:pPr>
      <w:r>
        <w:rPr>
          <w:rFonts w:hint="eastAsia" w:ascii="宋体" w:hAnsi="宋体" w:cs="Courier New"/>
          <w:color w:val="auto"/>
          <w:sz w:val="21"/>
          <w:szCs w:val="21"/>
          <w:highlight w:val="none"/>
        </w:rPr>
        <w:t>三、我方明白并同意，在规定的开标日之后，响应有效期之内撤销响应的，则我方承担违背响应承诺的责任追究。</w:t>
      </w:r>
    </w:p>
    <w:p w14:paraId="35419163">
      <w:pPr>
        <w:pStyle w:val="26"/>
        <w:adjustRightInd w:val="0"/>
        <w:spacing w:line="360" w:lineRule="auto"/>
        <w:ind w:firstLine="420" w:firstLineChars="200"/>
        <w:contextualSpacing/>
        <w:rPr>
          <w:rFonts w:ascii="宋体" w:hAnsi="宋体" w:cs="Courier New"/>
          <w:color w:val="auto"/>
          <w:sz w:val="21"/>
          <w:szCs w:val="21"/>
          <w:highlight w:val="none"/>
        </w:rPr>
      </w:pPr>
      <w:r>
        <w:rPr>
          <w:rFonts w:hint="eastAsia" w:ascii="宋体" w:hAnsi="宋体" w:cs="Courier New"/>
          <w:color w:val="auto"/>
          <w:sz w:val="21"/>
          <w:szCs w:val="21"/>
          <w:highlight w:val="none"/>
        </w:rPr>
        <w:t>四、我方同意按照贵方可能提出的要求而提供与投标有关的任何其它数据、信息或资料。</w:t>
      </w:r>
    </w:p>
    <w:p w14:paraId="42C86DDC">
      <w:pPr>
        <w:pStyle w:val="26"/>
        <w:adjustRightInd w:val="0"/>
        <w:spacing w:line="360" w:lineRule="auto"/>
        <w:ind w:firstLine="420" w:firstLineChars="200"/>
        <w:contextualSpacing/>
        <w:rPr>
          <w:rFonts w:ascii="宋体" w:hAnsi="宋体" w:cs="宋体"/>
          <w:color w:val="auto"/>
          <w:sz w:val="21"/>
          <w:szCs w:val="21"/>
          <w:highlight w:val="none"/>
        </w:rPr>
      </w:pPr>
      <w:r>
        <w:rPr>
          <w:rFonts w:hint="eastAsia" w:ascii="宋体" w:hAnsi="宋体" w:cs="Courier New"/>
          <w:color w:val="auto"/>
          <w:sz w:val="21"/>
          <w:szCs w:val="21"/>
          <w:highlight w:val="none"/>
        </w:rPr>
        <w:t>五、</w:t>
      </w:r>
      <w:r>
        <w:rPr>
          <w:rFonts w:hint="eastAsia" w:ascii="宋体" w:hAnsi="宋体" w:cs="宋体"/>
          <w:color w:val="auto"/>
          <w:sz w:val="21"/>
          <w:szCs w:val="21"/>
          <w:highlight w:val="none"/>
        </w:rPr>
        <w:t>我方完全理解贵方不一定要接受最低报价的响应或其他任何响应。</w:t>
      </w:r>
    </w:p>
    <w:p w14:paraId="07D8C28B">
      <w:pPr>
        <w:pStyle w:val="26"/>
        <w:adjustRightInd w:val="0"/>
        <w:spacing w:line="360" w:lineRule="auto"/>
        <w:ind w:firstLine="420" w:firstLineChars="200"/>
        <w:contextualSpacing/>
        <w:rPr>
          <w:rFonts w:ascii="宋体" w:hAnsi="宋体" w:cs="Courier New"/>
          <w:color w:val="auto"/>
          <w:sz w:val="21"/>
          <w:szCs w:val="21"/>
          <w:highlight w:val="none"/>
        </w:rPr>
      </w:pPr>
      <w:r>
        <w:rPr>
          <w:rFonts w:hint="eastAsia" w:ascii="宋体" w:hAnsi="宋体" w:cs="Courier New"/>
          <w:color w:val="auto"/>
          <w:sz w:val="21"/>
          <w:szCs w:val="21"/>
          <w:highlight w:val="none"/>
        </w:rPr>
        <w:t>六、我方如果为成交供应商，将保证履行磋商文件及其澄清、修改文件（如果有）中的全部责任和义务，按质、按量、按期完成《项目需求》及《合同书》中的全部任务。</w:t>
      </w:r>
    </w:p>
    <w:p w14:paraId="36A3AFD5">
      <w:pPr>
        <w:pStyle w:val="26"/>
        <w:adjustRightInd w:val="0"/>
        <w:spacing w:line="360" w:lineRule="auto"/>
        <w:ind w:firstLine="420" w:firstLineChars="200"/>
        <w:contextualSpacing/>
        <w:rPr>
          <w:rFonts w:ascii="宋体" w:hAnsi="宋体" w:cs="宋体"/>
          <w:color w:val="auto"/>
          <w:sz w:val="21"/>
          <w:szCs w:val="21"/>
          <w:highlight w:val="none"/>
        </w:rPr>
      </w:pPr>
      <w:r>
        <w:rPr>
          <w:rFonts w:hint="eastAsia" w:ascii="宋体" w:hAnsi="宋体" w:cs="Courier New"/>
          <w:color w:val="auto"/>
          <w:sz w:val="21"/>
          <w:szCs w:val="21"/>
          <w:highlight w:val="none"/>
        </w:rPr>
        <w:t>七、我方在此保证所提交的所有文件和全部说明是真实的和正确的。</w:t>
      </w:r>
    </w:p>
    <w:p w14:paraId="3F3E071E">
      <w:pPr>
        <w:pStyle w:val="17"/>
        <w:adjustRightInd w:val="0"/>
        <w:spacing w:line="360" w:lineRule="auto"/>
        <w:ind w:firstLine="420" w:firstLineChars="200"/>
        <w:contextualSpacing/>
        <w:rPr>
          <w:rFonts w:ascii="宋体" w:hAnsi="宋体"/>
          <w:color w:val="auto"/>
          <w:sz w:val="21"/>
          <w:szCs w:val="21"/>
          <w:highlight w:val="none"/>
        </w:rPr>
      </w:pPr>
      <w:r>
        <w:rPr>
          <w:rFonts w:hint="eastAsia" w:ascii="宋体" w:hAnsi="宋体"/>
          <w:color w:val="auto"/>
          <w:sz w:val="21"/>
          <w:szCs w:val="21"/>
          <w:highlight w:val="none"/>
        </w:rPr>
        <w:t xml:space="preserve">八、我方报价已包含应向知识产权所有权人支付的所有相关税费，并保证采购人在中国使用我方提供的货物时，如有第三方提出侵犯其知识产权主张的，责任由我方承担。 </w:t>
      </w:r>
    </w:p>
    <w:p w14:paraId="1D387A83">
      <w:pPr>
        <w:pStyle w:val="17"/>
        <w:adjustRightInd w:val="0"/>
        <w:spacing w:line="360" w:lineRule="auto"/>
        <w:ind w:firstLine="420" w:firstLineChars="200"/>
        <w:contextualSpacing/>
        <w:rPr>
          <w:rFonts w:ascii="宋体" w:hAnsi="宋体" w:cs="Arial"/>
          <w:color w:val="auto"/>
          <w:sz w:val="21"/>
          <w:szCs w:val="21"/>
          <w:highlight w:val="none"/>
        </w:rPr>
      </w:pPr>
      <w:r>
        <w:rPr>
          <w:rFonts w:hint="eastAsia" w:ascii="宋体" w:hAnsi="宋体" w:cs="Arial"/>
          <w:color w:val="auto"/>
          <w:sz w:val="21"/>
          <w:szCs w:val="21"/>
          <w:highlight w:val="none"/>
        </w:rPr>
        <w:t>九、我方具备《政府采购法》第二十二条规定的条件；承诺如下：</w:t>
      </w:r>
    </w:p>
    <w:p w14:paraId="0C1BB5FA">
      <w:pPr>
        <w:pStyle w:val="17"/>
        <w:adjustRightInd w:val="0"/>
        <w:spacing w:line="360" w:lineRule="auto"/>
        <w:ind w:firstLine="420" w:firstLineChars="200"/>
        <w:contextualSpacing/>
        <w:rPr>
          <w:rFonts w:ascii="宋体" w:hAnsi="宋体" w:cs="Arial"/>
          <w:color w:val="auto"/>
          <w:sz w:val="21"/>
          <w:szCs w:val="21"/>
          <w:highlight w:val="none"/>
        </w:rPr>
      </w:pPr>
      <w:r>
        <w:rPr>
          <w:rFonts w:hint="eastAsia" w:ascii="宋体" w:hAnsi="宋体" w:cs="Arial"/>
          <w:color w:val="auto"/>
          <w:sz w:val="21"/>
          <w:szCs w:val="21"/>
          <w:highlight w:val="none"/>
        </w:rPr>
        <w:t>1. 具有独立承担民事责任能力的在中华人民共和国境内注册的法人或其他组织或自然人，有效的营业执照（或事业法人登记证或身份证等相关证明）。</w:t>
      </w:r>
    </w:p>
    <w:p w14:paraId="53511C4E">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2. 我方已依法缴纳了各项税费及社会保险费用，如有需要，可随时向采购人提供近三个月内的相关缴费证明，以便核查。</w:t>
      </w:r>
    </w:p>
    <w:p w14:paraId="008E8322">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3. 我方已依法建立健全的财务会计制度，如有需要，可随时向采购人提供相关证明材料，以便核查。</w:t>
      </w:r>
    </w:p>
    <w:p w14:paraId="52E19821">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4. 参加采购活动前三年内，在经营活动中没有重大违法记录。</w:t>
      </w:r>
    </w:p>
    <w:p w14:paraId="1D6AA87F">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5. 符合法律、行政法规规定的其他条件。</w:t>
      </w:r>
    </w:p>
    <w:p w14:paraId="314FE806">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olor w:val="auto"/>
          <w:szCs w:val="21"/>
          <w:highlight w:val="none"/>
        </w:rPr>
        <w:t>以上内容如有虚假或与事实不符的，评审委员会可将</w:t>
      </w:r>
      <w:r>
        <w:rPr>
          <w:rFonts w:hint="eastAsia" w:ascii="宋体" w:hAnsi="宋体" w:cs="Arial"/>
          <w:color w:val="auto"/>
          <w:szCs w:val="21"/>
          <w:highlight w:val="none"/>
        </w:rPr>
        <w:t>我方做无效投标处理，我方愿意承担相应的法律责任。</w:t>
      </w:r>
    </w:p>
    <w:p w14:paraId="7B93B5C3">
      <w:pPr>
        <w:pStyle w:val="17"/>
        <w:adjustRightInd w:val="0"/>
        <w:spacing w:line="360" w:lineRule="auto"/>
        <w:ind w:firstLine="420" w:firstLineChars="200"/>
        <w:contextualSpacing/>
        <w:rPr>
          <w:rFonts w:ascii="宋体" w:hAnsi="宋体"/>
          <w:color w:val="auto"/>
          <w:sz w:val="21"/>
          <w:szCs w:val="21"/>
          <w:highlight w:val="none"/>
        </w:rPr>
      </w:pPr>
      <w:r>
        <w:rPr>
          <w:rFonts w:hint="eastAsia" w:ascii="宋体" w:hAnsi="宋体"/>
          <w:color w:val="auto"/>
          <w:sz w:val="21"/>
          <w:szCs w:val="21"/>
          <w:highlight w:val="none"/>
        </w:rPr>
        <w:t>十、我方具备履行合同所必需的设备和专业技术能力。</w:t>
      </w:r>
    </w:p>
    <w:p w14:paraId="1AA73DCA">
      <w:pPr>
        <w:pStyle w:val="17"/>
        <w:adjustRightInd w:val="0"/>
        <w:spacing w:line="360" w:lineRule="auto"/>
        <w:ind w:firstLine="420" w:firstLineChars="200"/>
        <w:contextualSpacing/>
        <w:rPr>
          <w:rFonts w:ascii="宋体" w:hAnsi="宋体"/>
          <w:color w:val="auto"/>
          <w:sz w:val="21"/>
          <w:szCs w:val="21"/>
          <w:highlight w:val="none"/>
        </w:rPr>
      </w:pPr>
      <w:r>
        <w:rPr>
          <w:rFonts w:hint="eastAsia" w:ascii="宋体" w:hAnsi="宋体"/>
          <w:snapToGrid w:val="0"/>
          <w:color w:val="auto"/>
          <w:kern w:val="0"/>
          <w:sz w:val="21"/>
          <w:szCs w:val="21"/>
          <w:highlight w:val="none"/>
        </w:rPr>
        <w:t>十一、</w:t>
      </w:r>
      <w:r>
        <w:rPr>
          <w:rFonts w:hint="eastAsia" w:ascii="宋体" w:hAnsi="宋体"/>
          <w:color w:val="auto"/>
          <w:sz w:val="21"/>
          <w:szCs w:val="21"/>
          <w:highlight w:val="none"/>
        </w:rPr>
        <w:t>我方对在本函及响应文件中所作的所有承诺承担法律责任。</w:t>
      </w:r>
    </w:p>
    <w:p w14:paraId="08CB7395">
      <w:pPr>
        <w:pStyle w:val="17"/>
        <w:adjustRightInd w:val="0"/>
        <w:snapToGrid w:val="0"/>
        <w:spacing w:line="360" w:lineRule="auto"/>
        <w:rPr>
          <w:rFonts w:ascii="宋体" w:hAnsi="宋体"/>
          <w:color w:val="auto"/>
          <w:sz w:val="21"/>
          <w:szCs w:val="21"/>
          <w:highlight w:val="none"/>
        </w:rPr>
      </w:pPr>
    </w:p>
    <w:p w14:paraId="37DBF787">
      <w:pPr>
        <w:pStyle w:val="17"/>
        <w:adjustRightInd w:val="0"/>
        <w:snapToGrid w:val="0"/>
        <w:spacing w:line="360" w:lineRule="auto"/>
        <w:rPr>
          <w:rFonts w:ascii="宋体" w:hAnsi="宋体"/>
          <w:color w:val="auto"/>
          <w:sz w:val="21"/>
          <w:szCs w:val="21"/>
          <w:highlight w:val="none"/>
        </w:rPr>
      </w:pPr>
      <w:r>
        <w:rPr>
          <w:rFonts w:hint="eastAsia" w:ascii="宋体" w:hAnsi="宋体"/>
          <w:color w:val="auto"/>
          <w:sz w:val="21"/>
          <w:szCs w:val="21"/>
          <w:highlight w:val="none"/>
        </w:rPr>
        <w:t>所有与本项目响应有关的一切正式往来请寄：</w:t>
      </w:r>
    </w:p>
    <w:p w14:paraId="30CD912E">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地    址：.  邮政编码：.</w:t>
      </w:r>
    </w:p>
    <w:p w14:paraId="05C983CD">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电    话：.  传    真：.</w:t>
      </w:r>
    </w:p>
    <w:p w14:paraId="0EE9AA0A">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供应商代表姓名：.  职    务：.</w:t>
      </w:r>
    </w:p>
    <w:p w14:paraId="3A615811">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投标人法定代表人（或法定代表人授权代表）签字或盖章：</w:t>
      </w:r>
    </w:p>
    <w:p w14:paraId="1692D13D">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供应商名称（盖章）：</w:t>
      </w:r>
    </w:p>
    <w:p w14:paraId="5ADC79D0">
      <w:pPr>
        <w:adjustRightInd w:val="0"/>
        <w:snapToGrid w:val="0"/>
        <w:spacing w:line="360" w:lineRule="auto"/>
        <w:ind w:firstLine="4305" w:firstLineChars="2050"/>
        <w:rPr>
          <w:rFonts w:ascii="宋体" w:hAnsi="宋体"/>
          <w:color w:val="auto"/>
          <w:szCs w:val="21"/>
          <w:highlight w:val="none"/>
        </w:rPr>
      </w:pPr>
    </w:p>
    <w:p w14:paraId="41FB4330">
      <w:pPr>
        <w:adjustRightInd w:val="0"/>
        <w:snapToGrid w:val="0"/>
        <w:spacing w:line="360" w:lineRule="auto"/>
        <w:ind w:firstLine="4305" w:firstLineChars="2050"/>
        <w:rPr>
          <w:rFonts w:ascii="宋体" w:hAnsi="宋体"/>
          <w:color w:val="auto"/>
          <w:szCs w:val="21"/>
          <w:highlight w:val="none"/>
        </w:rPr>
      </w:pPr>
      <w:r>
        <w:rPr>
          <w:rFonts w:hint="eastAsia" w:ascii="宋体" w:hAnsi="宋体"/>
          <w:color w:val="auto"/>
          <w:szCs w:val="21"/>
          <w:highlight w:val="none"/>
        </w:rPr>
        <w:t>日期：    年    月    日</w:t>
      </w:r>
    </w:p>
    <w:p w14:paraId="6D5F5062">
      <w:pPr>
        <w:adjustRightInd w:val="0"/>
        <w:snapToGrid w:val="0"/>
        <w:spacing w:line="360" w:lineRule="auto"/>
        <w:ind w:firstLine="4305" w:firstLineChars="2050"/>
        <w:rPr>
          <w:rFonts w:ascii="宋体" w:hAnsi="宋体"/>
          <w:color w:val="auto"/>
          <w:szCs w:val="21"/>
          <w:highlight w:val="none"/>
        </w:rPr>
      </w:pPr>
    </w:p>
    <w:p w14:paraId="0E813E1E">
      <w:pPr>
        <w:jc w:val="center"/>
        <w:rPr>
          <w:rFonts w:ascii="宋体" w:hAnsi="宋体"/>
          <w:b/>
          <w:bCs/>
          <w:color w:val="auto"/>
          <w:sz w:val="24"/>
          <w:szCs w:val="24"/>
          <w:highlight w:val="none"/>
        </w:rPr>
      </w:pPr>
      <w:r>
        <w:rPr>
          <w:rFonts w:hint="eastAsia" w:ascii="宋体" w:hAnsi="宋体"/>
          <w:b/>
          <w:bCs/>
          <w:color w:val="auto"/>
          <w:sz w:val="24"/>
          <w:szCs w:val="24"/>
          <w:highlight w:val="none"/>
        </w:rPr>
        <w:br w:type="page"/>
      </w:r>
      <w:r>
        <w:rPr>
          <w:rFonts w:hint="eastAsia" w:ascii="宋体" w:hAnsi="宋体"/>
          <w:b/>
          <w:bCs/>
          <w:color w:val="auto"/>
          <w:sz w:val="24"/>
          <w:szCs w:val="24"/>
          <w:highlight w:val="none"/>
        </w:rPr>
        <w:t>3.2 法定代表人（单位负责人）</w:t>
      </w:r>
      <w:r>
        <w:rPr>
          <w:rFonts w:ascii="宋体" w:hAnsi="宋体"/>
          <w:b/>
          <w:bCs/>
          <w:color w:val="auto"/>
          <w:sz w:val="24"/>
          <w:szCs w:val="24"/>
          <w:highlight w:val="none"/>
        </w:rPr>
        <w:t>资</w:t>
      </w:r>
      <w:r>
        <w:rPr>
          <w:rFonts w:hint="eastAsia" w:ascii="宋体" w:hAnsi="宋体"/>
          <w:b/>
          <w:bCs/>
          <w:color w:val="auto"/>
          <w:sz w:val="24"/>
          <w:szCs w:val="24"/>
          <w:highlight w:val="none"/>
        </w:rPr>
        <w:t>格</w:t>
      </w:r>
      <w:r>
        <w:rPr>
          <w:rFonts w:ascii="宋体" w:hAnsi="宋体"/>
          <w:b/>
          <w:bCs/>
          <w:color w:val="auto"/>
          <w:sz w:val="24"/>
          <w:szCs w:val="24"/>
          <w:highlight w:val="none"/>
        </w:rPr>
        <w:t>证</w:t>
      </w:r>
      <w:r>
        <w:rPr>
          <w:rFonts w:hint="eastAsia" w:ascii="宋体" w:hAnsi="宋体"/>
          <w:b/>
          <w:bCs/>
          <w:color w:val="auto"/>
          <w:sz w:val="24"/>
          <w:szCs w:val="24"/>
          <w:highlight w:val="none"/>
        </w:rPr>
        <w:t>明</w:t>
      </w:r>
      <w:r>
        <w:rPr>
          <w:rFonts w:ascii="宋体" w:hAnsi="宋体"/>
          <w:b/>
          <w:bCs/>
          <w:color w:val="auto"/>
          <w:sz w:val="24"/>
          <w:szCs w:val="24"/>
          <w:highlight w:val="none"/>
        </w:rPr>
        <w:t>书</w:t>
      </w:r>
    </w:p>
    <w:p w14:paraId="512E9F46">
      <w:pPr>
        <w:autoSpaceDE w:val="0"/>
        <w:autoSpaceDN w:val="0"/>
        <w:adjustRightInd w:val="0"/>
        <w:spacing w:line="480" w:lineRule="auto"/>
        <w:ind w:firstLine="616" w:firstLineChars="257"/>
        <w:rPr>
          <w:rFonts w:ascii="宋体" w:hAnsi="宋体"/>
          <w:color w:val="auto"/>
          <w:sz w:val="24"/>
          <w:szCs w:val="24"/>
          <w:highlight w:val="none"/>
        </w:rPr>
      </w:pPr>
    </w:p>
    <w:p w14:paraId="071C4655">
      <w:pPr>
        <w:pStyle w:val="44"/>
        <w:spacing w:line="480" w:lineRule="auto"/>
        <w:ind w:firstLine="472" w:firstLineChars="225"/>
        <w:jc w:val="left"/>
        <w:rPr>
          <w:rFonts w:hAnsi="宋体"/>
          <w:color w:val="auto"/>
          <w:sz w:val="21"/>
          <w:szCs w:val="21"/>
          <w:highlight w:val="none"/>
        </w:rPr>
      </w:pPr>
      <w:r>
        <w:rPr>
          <w:rFonts w:hAnsi="宋体"/>
          <w:color w:val="auto"/>
          <w:sz w:val="21"/>
          <w:szCs w:val="21"/>
          <w:highlight w:val="none"/>
        </w:rPr>
        <w:t>单</w:t>
      </w:r>
      <w:r>
        <w:rPr>
          <w:rFonts w:hint="eastAsia" w:hAnsi="宋体"/>
          <w:color w:val="auto"/>
          <w:sz w:val="21"/>
          <w:szCs w:val="21"/>
          <w:highlight w:val="none"/>
        </w:rPr>
        <w:t>位名</w:t>
      </w:r>
      <w:r>
        <w:rPr>
          <w:rFonts w:hAnsi="宋体"/>
          <w:color w:val="auto"/>
          <w:sz w:val="21"/>
          <w:szCs w:val="21"/>
          <w:highlight w:val="none"/>
        </w:rPr>
        <w:t>称</w:t>
      </w:r>
      <w:r>
        <w:rPr>
          <w:rFonts w:hint="eastAsia" w:hAnsi="宋体"/>
          <w:color w:val="auto"/>
          <w:sz w:val="21"/>
          <w:szCs w:val="21"/>
          <w:highlight w:val="none"/>
        </w:rPr>
        <w:t>：</w:t>
      </w:r>
    </w:p>
    <w:p w14:paraId="2C883B16">
      <w:pPr>
        <w:pStyle w:val="44"/>
        <w:spacing w:line="480" w:lineRule="auto"/>
        <w:ind w:firstLine="472" w:firstLineChars="225"/>
        <w:jc w:val="left"/>
        <w:rPr>
          <w:rFonts w:hAnsi="宋体"/>
          <w:color w:val="auto"/>
          <w:sz w:val="21"/>
          <w:szCs w:val="21"/>
          <w:highlight w:val="none"/>
        </w:rPr>
      </w:pPr>
      <w:r>
        <w:rPr>
          <w:rFonts w:hint="eastAsia" w:hAnsi="宋体"/>
          <w:color w:val="auto"/>
          <w:sz w:val="21"/>
          <w:szCs w:val="21"/>
          <w:highlight w:val="none"/>
        </w:rPr>
        <w:t>地址：</w:t>
      </w:r>
    </w:p>
    <w:p w14:paraId="2E706AB5">
      <w:pPr>
        <w:pStyle w:val="44"/>
        <w:spacing w:line="480" w:lineRule="auto"/>
        <w:ind w:firstLine="472" w:firstLineChars="225"/>
        <w:jc w:val="left"/>
        <w:rPr>
          <w:rFonts w:hAnsi="宋体"/>
          <w:color w:val="auto"/>
          <w:sz w:val="21"/>
          <w:szCs w:val="21"/>
          <w:highlight w:val="none"/>
        </w:rPr>
      </w:pPr>
      <w:r>
        <w:rPr>
          <w:rFonts w:hint="eastAsia" w:hAnsi="宋体"/>
          <w:color w:val="auto"/>
          <w:sz w:val="21"/>
          <w:szCs w:val="21"/>
          <w:highlight w:val="none"/>
        </w:rPr>
        <w:t>姓名：       性</w:t>
      </w:r>
      <w:r>
        <w:rPr>
          <w:rFonts w:hAnsi="宋体"/>
          <w:color w:val="auto"/>
          <w:sz w:val="21"/>
          <w:szCs w:val="21"/>
          <w:highlight w:val="none"/>
        </w:rPr>
        <w:t>别</w:t>
      </w:r>
      <w:r>
        <w:rPr>
          <w:rFonts w:hint="eastAsia" w:hAnsi="宋体"/>
          <w:color w:val="auto"/>
          <w:sz w:val="21"/>
          <w:szCs w:val="21"/>
          <w:highlight w:val="none"/>
        </w:rPr>
        <w:t>：     年</w:t>
      </w:r>
      <w:r>
        <w:rPr>
          <w:rFonts w:hAnsi="宋体"/>
          <w:color w:val="auto"/>
          <w:sz w:val="21"/>
          <w:szCs w:val="21"/>
          <w:highlight w:val="none"/>
        </w:rPr>
        <w:t>龄</w:t>
      </w:r>
      <w:r>
        <w:rPr>
          <w:rFonts w:hint="eastAsia" w:hAnsi="宋体"/>
          <w:color w:val="auto"/>
          <w:sz w:val="21"/>
          <w:szCs w:val="21"/>
          <w:highlight w:val="none"/>
        </w:rPr>
        <w:t>：</w:t>
      </w:r>
      <w:r>
        <w:rPr>
          <w:rFonts w:hAnsi="宋体"/>
          <w:color w:val="auto"/>
          <w:sz w:val="21"/>
          <w:szCs w:val="21"/>
          <w:highlight w:val="none"/>
        </w:rPr>
        <w:t xml:space="preserve">     职务</w:t>
      </w:r>
      <w:r>
        <w:rPr>
          <w:rFonts w:hint="eastAsia" w:hAnsi="宋体"/>
          <w:color w:val="auto"/>
          <w:sz w:val="21"/>
          <w:szCs w:val="21"/>
          <w:highlight w:val="none"/>
        </w:rPr>
        <w:t xml:space="preserve">：        </w:t>
      </w:r>
    </w:p>
    <w:p w14:paraId="228F41A3">
      <w:pPr>
        <w:pStyle w:val="44"/>
        <w:spacing w:line="480" w:lineRule="auto"/>
        <w:ind w:firstLine="472" w:firstLineChars="225"/>
        <w:jc w:val="left"/>
        <w:rPr>
          <w:rFonts w:hAnsi="宋体"/>
          <w:color w:val="auto"/>
          <w:sz w:val="21"/>
          <w:szCs w:val="21"/>
          <w:highlight w:val="none"/>
        </w:rPr>
      </w:pPr>
      <w:r>
        <w:rPr>
          <w:rFonts w:hint="eastAsia" w:hAnsi="宋体"/>
          <w:color w:val="auto"/>
          <w:sz w:val="21"/>
          <w:szCs w:val="21"/>
          <w:highlight w:val="none"/>
        </w:rPr>
        <w:t>本人系</w:t>
      </w:r>
      <w:r>
        <w:rPr>
          <w:rFonts w:hint="eastAsia" w:hAnsi="宋体"/>
          <w:i/>
          <w:snapToGrid w:val="0"/>
          <w:color w:val="auto"/>
          <w:sz w:val="21"/>
          <w:szCs w:val="21"/>
          <w:highlight w:val="none"/>
          <w:u w:val="single"/>
        </w:rPr>
        <w:t>供应商名</w:t>
      </w:r>
      <w:r>
        <w:rPr>
          <w:rFonts w:hAnsi="宋体"/>
          <w:i/>
          <w:snapToGrid w:val="0"/>
          <w:color w:val="auto"/>
          <w:sz w:val="21"/>
          <w:szCs w:val="21"/>
          <w:highlight w:val="none"/>
          <w:u w:val="single"/>
        </w:rPr>
        <w:t>称</w:t>
      </w:r>
      <w:r>
        <w:rPr>
          <w:rFonts w:hint="eastAsia" w:hAnsi="宋体"/>
          <w:color w:val="auto"/>
          <w:sz w:val="21"/>
          <w:szCs w:val="21"/>
          <w:highlight w:val="none"/>
        </w:rPr>
        <w:t>的法定代表人（单位负责人）。就</w:t>
      </w:r>
      <w:r>
        <w:rPr>
          <w:rFonts w:hAnsi="宋体"/>
          <w:color w:val="auto"/>
          <w:sz w:val="21"/>
          <w:szCs w:val="21"/>
          <w:highlight w:val="none"/>
        </w:rPr>
        <w:t>参</w:t>
      </w:r>
      <w:r>
        <w:rPr>
          <w:rFonts w:hint="eastAsia" w:hAnsi="宋体"/>
          <w:color w:val="auto"/>
          <w:sz w:val="21"/>
          <w:szCs w:val="21"/>
          <w:highlight w:val="none"/>
        </w:rPr>
        <w:t>加贵方招</w:t>
      </w:r>
      <w:r>
        <w:rPr>
          <w:rFonts w:hAnsi="宋体"/>
          <w:color w:val="auto"/>
          <w:sz w:val="21"/>
          <w:szCs w:val="21"/>
          <w:highlight w:val="none"/>
        </w:rPr>
        <w:t>标编号为</w:t>
      </w:r>
      <w:r>
        <w:rPr>
          <w:rFonts w:hAnsi="宋体"/>
          <w:i/>
          <w:color w:val="auto"/>
          <w:sz w:val="21"/>
          <w:szCs w:val="21"/>
          <w:highlight w:val="none"/>
          <w:u w:val="single"/>
        </w:rPr>
        <w:t>项目编号</w:t>
      </w:r>
      <w:r>
        <w:rPr>
          <w:rFonts w:hint="eastAsia" w:hAnsi="宋体"/>
          <w:color w:val="auto"/>
          <w:sz w:val="21"/>
          <w:szCs w:val="21"/>
          <w:highlight w:val="none"/>
        </w:rPr>
        <w:t>的</w:t>
      </w:r>
      <w:r>
        <w:rPr>
          <w:rFonts w:hAnsi="宋体"/>
          <w:i/>
          <w:color w:val="auto"/>
          <w:sz w:val="21"/>
          <w:szCs w:val="21"/>
          <w:highlight w:val="none"/>
          <w:u w:val="single"/>
        </w:rPr>
        <w:t>项目</w:t>
      </w:r>
      <w:r>
        <w:rPr>
          <w:rFonts w:hint="eastAsia" w:hAnsi="宋体"/>
          <w:i/>
          <w:color w:val="auto"/>
          <w:sz w:val="21"/>
          <w:szCs w:val="21"/>
          <w:highlight w:val="none"/>
          <w:u w:val="single"/>
        </w:rPr>
        <w:t>名</w:t>
      </w:r>
      <w:r>
        <w:rPr>
          <w:rFonts w:hAnsi="宋体"/>
          <w:i/>
          <w:color w:val="auto"/>
          <w:sz w:val="21"/>
          <w:szCs w:val="21"/>
          <w:highlight w:val="none"/>
          <w:u w:val="single"/>
        </w:rPr>
        <w:t>称</w:t>
      </w:r>
      <w:r>
        <w:rPr>
          <w:rFonts w:hint="eastAsia" w:hAnsi="宋体"/>
          <w:color w:val="auto"/>
          <w:sz w:val="21"/>
          <w:szCs w:val="21"/>
          <w:highlight w:val="none"/>
        </w:rPr>
        <w:t>竞争性磋商</w:t>
      </w:r>
      <w:r>
        <w:rPr>
          <w:rFonts w:hAnsi="宋体"/>
          <w:color w:val="auto"/>
          <w:sz w:val="21"/>
          <w:szCs w:val="21"/>
          <w:highlight w:val="none"/>
        </w:rPr>
        <w:t>项目</w:t>
      </w:r>
      <w:r>
        <w:rPr>
          <w:rFonts w:hint="eastAsia" w:hAnsi="宋体"/>
          <w:color w:val="auto"/>
          <w:sz w:val="21"/>
          <w:szCs w:val="21"/>
          <w:highlight w:val="none"/>
        </w:rPr>
        <w:t>的投</w:t>
      </w:r>
      <w:r>
        <w:rPr>
          <w:rFonts w:hAnsi="宋体"/>
          <w:color w:val="auto"/>
          <w:sz w:val="21"/>
          <w:szCs w:val="21"/>
          <w:highlight w:val="none"/>
        </w:rPr>
        <w:t>标报价</w:t>
      </w:r>
      <w:r>
        <w:rPr>
          <w:rFonts w:hint="eastAsia" w:hAnsi="宋体"/>
          <w:color w:val="auto"/>
          <w:sz w:val="21"/>
          <w:szCs w:val="21"/>
          <w:highlight w:val="none"/>
        </w:rPr>
        <w:t>，</w:t>
      </w:r>
      <w:r>
        <w:rPr>
          <w:rFonts w:hAnsi="宋体"/>
          <w:color w:val="auto"/>
          <w:sz w:val="21"/>
          <w:szCs w:val="21"/>
          <w:highlight w:val="none"/>
        </w:rPr>
        <w:t>签</w:t>
      </w:r>
      <w:r>
        <w:rPr>
          <w:rFonts w:hint="eastAsia" w:hAnsi="宋体"/>
          <w:color w:val="auto"/>
          <w:sz w:val="21"/>
          <w:szCs w:val="21"/>
          <w:highlight w:val="none"/>
        </w:rPr>
        <w:t>署上</w:t>
      </w:r>
      <w:r>
        <w:rPr>
          <w:rFonts w:hAnsi="宋体"/>
          <w:color w:val="auto"/>
          <w:sz w:val="21"/>
          <w:szCs w:val="21"/>
          <w:highlight w:val="none"/>
        </w:rPr>
        <w:t>述项目</w:t>
      </w:r>
      <w:r>
        <w:rPr>
          <w:rFonts w:hint="eastAsia" w:hAnsi="宋体"/>
          <w:color w:val="auto"/>
          <w:sz w:val="21"/>
          <w:szCs w:val="21"/>
          <w:highlight w:val="none"/>
        </w:rPr>
        <w:t>的响应文件及合同的</w:t>
      </w:r>
      <w:r>
        <w:rPr>
          <w:rFonts w:hAnsi="宋体"/>
          <w:color w:val="auto"/>
          <w:sz w:val="21"/>
          <w:szCs w:val="21"/>
          <w:highlight w:val="none"/>
        </w:rPr>
        <w:t>执</w:t>
      </w:r>
      <w:r>
        <w:rPr>
          <w:rFonts w:hint="eastAsia" w:hAnsi="宋体"/>
          <w:color w:val="auto"/>
          <w:sz w:val="21"/>
          <w:szCs w:val="21"/>
          <w:highlight w:val="none"/>
        </w:rPr>
        <w:t>行、完成、服</w:t>
      </w:r>
      <w:r>
        <w:rPr>
          <w:rFonts w:hAnsi="宋体"/>
          <w:color w:val="auto"/>
          <w:sz w:val="21"/>
          <w:szCs w:val="21"/>
          <w:highlight w:val="none"/>
        </w:rPr>
        <w:t>务</w:t>
      </w:r>
      <w:r>
        <w:rPr>
          <w:rFonts w:hint="eastAsia" w:hAnsi="宋体"/>
          <w:color w:val="auto"/>
          <w:sz w:val="21"/>
          <w:szCs w:val="21"/>
          <w:highlight w:val="none"/>
        </w:rPr>
        <w:t>和保修，</w:t>
      </w:r>
      <w:r>
        <w:rPr>
          <w:rFonts w:hAnsi="宋体"/>
          <w:color w:val="auto"/>
          <w:sz w:val="21"/>
          <w:szCs w:val="21"/>
          <w:highlight w:val="none"/>
        </w:rPr>
        <w:t>签</w:t>
      </w:r>
      <w:r>
        <w:rPr>
          <w:rFonts w:hint="eastAsia" w:hAnsi="宋体"/>
          <w:color w:val="auto"/>
          <w:sz w:val="21"/>
          <w:szCs w:val="21"/>
          <w:highlight w:val="none"/>
        </w:rPr>
        <w:t>署合同和</w:t>
      </w:r>
      <w:r>
        <w:rPr>
          <w:rFonts w:hAnsi="宋体"/>
          <w:color w:val="auto"/>
          <w:sz w:val="21"/>
          <w:szCs w:val="21"/>
          <w:highlight w:val="none"/>
        </w:rPr>
        <w:t>处</w:t>
      </w:r>
      <w:r>
        <w:rPr>
          <w:rFonts w:hint="eastAsia" w:hAnsi="宋体"/>
          <w:color w:val="auto"/>
          <w:sz w:val="21"/>
          <w:szCs w:val="21"/>
          <w:highlight w:val="none"/>
        </w:rPr>
        <w:t>理与之有</w:t>
      </w:r>
      <w:r>
        <w:rPr>
          <w:rFonts w:hAnsi="宋体"/>
          <w:color w:val="auto"/>
          <w:sz w:val="21"/>
          <w:szCs w:val="21"/>
          <w:highlight w:val="none"/>
        </w:rPr>
        <w:t>关的</w:t>
      </w:r>
      <w:r>
        <w:rPr>
          <w:rFonts w:hint="eastAsia" w:hAnsi="宋体"/>
          <w:color w:val="auto"/>
          <w:sz w:val="21"/>
          <w:szCs w:val="21"/>
          <w:highlight w:val="none"/>
        </w:rPr>
        <w:t>一切事</w:t>
      </w:r>
      <w:r>
        <w:rPr>
          <w:rFonts w:hAnsi="宋体"/>
          <w:color w:val="auto"/>
          <w:sz w:val="21"/>
          <w:szCs w:val="21"/>
          <w:highlight w:val="none"/>
        </w:rPr>
        <w:t>务</w:t>
      </w:r>
      <w:r>
        <w:rPr>
          <w:rFonts w:hint="eastAsia" w:hAnsi="宋体"/>
          <w:color w:val="auto"/>
          <w:sz w:val="21"/>
          <w:szCs w:val="21"/>
          <w:highlight w:val="none"/>
        </w:rPr>
        <w:t>。</w:t>
      </w:r>
    </w:p>
    <w:p w14:paraId="5CE7EFDD">
      <w:pPr>
        <w:pStyle w:val="44"/>
        <w:spacing w:line="480" w:lineRule="auto"/>
        <w:ind w:firstLine="472" w:firstLineChars="225"/>
        <w:jc w:val="left"/>
        <w:rPr>
          <w:rFonts w:hAnsi="宋体"/>
          <w:color w:val="auto"/>
          <w:sz w:val="21"/>
          <w:szCs w:val="21"/>
          <w:highlight w:val="none"/>
        </w:rPr>
      </w:pPr>
      <w:r>
        <w:rPr>
          <w:rFonts w:hint="eastAsia" w:hAnsi="宋体"/>
          <w:color w:val="auto"/>
          <w:sz w:val="21"/>
          <w:szCs w:val="21"/>
          <w:highlight w:val="none"/>
        </w:rPr>
        <w:t>特此</w:t>
      </w:r>
      <w:r>
        <w:rPr>
          <w:rFonts w:hAnsi="宋体"/>
          <w:color w:val="auto"/>
          <w:sz w:val="21"/>
          <w:szCs w:val="21"/>
          <w:highlight w:val="none"/>
        </w:rPr>
        <w:t>证</w:t>
      </w:r>
      <w:r>
        <w:rPr>
          <w:rFonts w:hint="eastAsia" w:hAnsi="宋体"/>
          <w:color w:val="auto"/>
          <w:sz w:val="21"/>
          <w:szCs w:val="21"/>
          <w:highlight w:val="none"/>
        </w:rPr>
        <w:t>明。</w:t>
      </w:r>
    </w:p>
    <w:p w14:paraId="020FD080">
      <w:pPr>
        <w:pStyle w:val="44"/>
        <w:spacing w:line="480" w:lineRule="auto"/>
        <w:ind w:firstLine="472" w:firstLineChars="225"/>
        <w:jc w:val="left"/>
        <w:rPr>
          <w:rFonts w:hAnsi="宋体"/>
          <w:color w:val="auto"/>
          <w:sz w:val="21"/>
          <w:szCs w:val="21"/>
          <w:highlight w:val="none"/>
        </w:rPr>
      </w:pPr>
      <w:r>
        <w:rPr>
          <w:rFonts w:hint="eastAsia" w:hAnsi="宋体"/>
          <w:color w:val="auto"/>
          <w:sz w:val="21"/>
          <w:szCs w:val="21"/>
          <w:highlight w:val="none"/>
        </w:rPr>
        <w:t>法定代表人（单位负责人）联系电话（手机）：</w:t>
      </w:r>
    </w:p>
    <w:p w14:paraId="5A8A9583">
      <w:pPr>
        <w:pStyle w:val="44"/>
        <w:spacing w:line="480" w:lineRule="auto"/>
        <w:ind w:firstLine="472" w:firstLineChars="225"/>
        <w:jc w:val="left"/>
        <w:rPr>
          <w:rFonts w:hAnsi="宋体"/>
          <w:color w:val="auto"/>
          <w:sz w:val="21"/>
          <w:szCs w:val="21"/>
          <w:highlight w:val="none"/>
        </w:rPr>
      </w:pPr>
    </w:p>
    <w:p w14:paraId="10E3885B">
      <w:pPr>
        <w:pStyle w:val="44"/>
        <w:spacing w:line="480" w:lineRule="auto"/>
        <w:ind w:firstLine="472" w:firstLineChars="225"/>
        <w:jc w:val="left"/>
        <w:rPr>
          <w:rFonts w:hAnsi="宋体"/>
          <w:color w:val="auto"/>
          <w:sz w:val="21"/>
          <w:szCs w:val="21"/>
          <w:highlight w:val="none"/>
        </w:rPr>
      </w:pPr>
    </w:p>
    <w:p w14:paraId="355960B3">
      <w:pPr>
        <w:pStyle w:val="44"/>
        <w:spacing w:line="480" w:lineRule="auto"/>
        <w:ind w:left="-538" w:leftChars="-256" w:firstLine="539" w:firstLineChars="257"/>
        <w:jc w:val="center"/>
        <w:rPr>
          <w:rFonts w:hAnsi="宋体"/>
          <w:bCs/>
          <w:color w:val="auto"/>
          <w:sz w:val="21"/>
          <w:szCs w:val="21"/>
          <w:highlight w:val="none"/>
        </w:rPr>
      </w:pPr>
      <w:r>
        <w:rPr>
          <w:rFonts w:hint="eastAsia" w:hAnsi="宋体"/>
          <w:bCs/>
          <w:color w:val="auto"/>
          <w:sz w:val="21"/>
          <w:szCs w:val="21"/>
          <w:highlight w:val="none"/>
        </w:rPr>
        <w:t>【此</w:t>
      </w:r>
      <w:r>
        <w:rPr>
          <w:rFonts w:hAnsi="宋体"/>
          <w:bCs/>
          <w:color w:val="auto"/>
          <w:sz w:val="21"/>
          <w:szCs w:val="21"/>
          <w:highlight w:val="none"/>
        </w:rPr>
        <w:t>处请</w:t>
      </w:r>
      <w:r>
        <w:rPr>
          <w:rFonts w:hint="eastAsia" w:hAnsi="宋体"/>
          <w:bCs/>
          <w:color w:val="auto"/>
          <w:sz w:val="21"/>
          <w:szCs w:val="21"/>
          <w:highlight w:val="none"/>
        </w:rPr>
        <w:t>粘</w:t>
      </w:r>
      <w:r>
        <w:rPr>
          <w:rFonts w:hAnsi="宋体"/>
          <w:bCs/>
          <w:color w:val="auto"/>
          <w:sz w:val="21"/>
          <w:szCs w:val="21"/>
          <w:highlight w:val="none"/>
        </w:rPr>
        <w:t>贴</w:t>
      </w:r>
      <w:r>
        <w:rPr>
          <w:rFonts w:hint="eastAsia" w:hAnsi="宋体"/>
          <w:bCs/>
          <w:color w:val="auto"/>
          <w:sz w:val="21"/>
          <w:szCs w:val="21"/>
          <w:highlight w:val="none"/>
        </w:rPr>
        <w:t>法定代表人（单位负责人）身份</w:t>
      </w:r>
      <w:r>
        <w:rPr>
          <w:rFonts w:hAnsi="宋体"/>
          <w:bCs/>
          <w:color w:val="auto"/>
          <w:sz w:val="21"/>
          <w:szCs w:val="21"/>
          <w:highlight w:val="none"/>
        </w:rPr>
        <w:t>证复</w:t>
      </w:r>
      <w:r>
        <w:rPr>
          <w:rFonts w:hint="eastAsia" w:hAnsi="宋体"/>
          <w:bCs/>
          <w:color w:val="auto"/>
          <w:sz w:val="21"/>
          <w:szCs w:val="21"/>
          <w:highlight w:val="none"/>
        </w:rPr>
        <w:t>印件，需清晰反映身份证有效期限】</w:t>
      </w:r>
    </w:p>
    <w:p w14:paraId="5EDF7F21">
      <w:pPr>
        <w:pStyle w:val="44"/>
        <w:spacing w:line="480" w:lineRule="auto"/>
        <w:ind w:left="-538" w:leftChars="-256" w:firstLine="539" w:firstLineChars="257"/>
        <w:jc w:val="center"/>
        <w:rPr>
          <w:rFonts w:hAnsi="宋体"/>
          <w:bCs/>
          <w:color w:val="auto"/>
          <w:sz w:val="21"/>
          <w:szCs w:val="21"/>
          <w:highlight w:val="none"/>
        </w:rPr>
      </w:pPr>
    </w:p>
    <w:p w14:paraId="0C03147F">
      <w:pPr>
        <w:autoSpaceDE w:val="0"/>
        <w:autoSpaceDN w:val="0"/>
        <w:adjustRightInd w:val="0"/>
        <w:spacing w:line="360" w:lineRule="auto"/>
        <w:ind w:right="-11"/>
        <w:rPr>
          <w:rFonts w:ascii="宋体" w:hAnsi="宋体"/>
          <w:color w:val="auto"/>
          <w:szCs w:val="21"/>
          <w:highlight w:val="none"/>
          <w:lang w:val="zh-CN"/>
        </w:rPr>
      </w:pPr>
    </w:p>
    <w:p w14:paraId="3516E52E">
      <w:pPr>
        <w:autoSpaceDE w:val="0"/>
        <w:autoSpaceDN w:val="0"/>
        <w:adjustRightInd w:val="0"/>
        <w:spacing w:line="360" w:lineRule="auto"/>
        <w:ind w:right="-11"/>
        <w:rPr>
          <w:rFonts w:ascii="宋体" w:hAnsi="宋体"/>
          <w:color w:val="auto"/>
          <w:szCs w:val="21"/>
          <w:highlight w:val="none"/>
          <w:lang w:val="zh-CN"/>
        </w:rPr>
      </w:pPr>
    </w:p>
    <w:p w14:paraId="1BDD1925">
      <w:pPr>
        <w:spacing w:line="480" w:lineRule="auto"/>
        <w:ind w:firstLine="3937" w:firstLineChars="1875"/>
        <w:rPr>
          <w:rFonts w:ascii="宋体" w:hAnsi="宋体" w:cs="Arial"/>
          <w:color w:val="auto"/>
          <w:szCs w:val="21"/>
          <w:highlight w:val="none"/>
          <w:u w:val="single"/>
        </w:rPr>
      </w:pPr>
      <w:r>
        <w:rPr>
          <w:rFonts w:hint="eastAsia" w:ascii="宋体" w:hAnsi="宋体" w:cs="Arial"/>
          <w:color w:val="auto"/>
          <w:szCs w:val="21"/>
          <w:highlight w:val="none"/>
        </w:rPr>
        <w:t>投标人名称（并加盖公章）：</w:t>
      </w:r>
    </w:p>
    <w:p w14:paraId="10DE1C4F">
      <w:pPr>
        <w:pStyle w:val="46"/>
        <w:spacing w:before="60" w:line="480" w:lineRule="auto"/>
        <w:ind w:firstLine="3937" w:firstLineChars="1875"/>
        <w:rPr>
          <w:rFonts w:ascii="宋体" w:hAnsi="宋体" w:cs="Arial"/>
          <w:color w:val="auto"/>
          <w:sz w:val="21"/>
          <w:szCs w:val="21"/>
          <w:highlight w:val="none"/>
        </w:rPr>
      </w:pPr>
      <w:r>
        <w:rPr>
          <w:rFonts w:hint="eastAsia" w:ascii="宋体" w:hAnsi="宋体" w:cs="Arial"/>
          <w:color w:val="auto"/>
          <w:sz w:val="21"/>
          <w:szCs w:val="21"/>
          <w:highlight w:val="none"/>
        </w:rPr>
        <w:t>签署日期：   年   月  日</w:t>
      </w:r>
    </w:p>
    <w:p w14:paraId="2EBE13F9">
      <w:pPr>
        <w:pStyle w:val="45"/>
        <w:spacing w:line="480" w:lineRule="auto"/>
        <w:rPr>
          <w:rFonts w:ascii="宋体" w:hAnsi="宋体" w:cs="Arial"/>
          <w:color w:val="auto"/>
          <w:sz w:val="21"/>
          <w:szCs w:val="21"/>
          <w:highlight w:val="none"/>
        </w:rPr>
      </w:pPr>
    </w:p>
    <w:p w14:paraId="43B08A9E">
      <w:pPr>
        <w:rPr>
          <w:color w:val="auto"/>
          <w:szCs w:val="21"/>
          <w:highlight w:val="none"/>
        </w:rPr>
      </w:pPr>
    </w:p>
    <w:p w14:paraId="2E8F0788">
      <w:pPr>
        <w:spacing w:line="320" w:lineRule="exact"/>
        <w:ind w:firstLine="420" w:firstLineChars="200"/>
        <w:rPr>
          <w:rFonts w:ascii="宋体" w:hAnsi="宋体"/>
          <w:bCs/>
          <w:color w:val="auto"/>
          <w:kern w:val="12"/>
          <w:szCs w:val="21"/>
          <w:highlight w:val="none"/>
        </w:rPr>
      </w:pPr>
      <w:r>
        <w:rPr>
          <w:rFonts w:hint="eastAsia" w:ascii="宋体" w:hAnsi="宋体"/>
          <w:bCs/>
          <w:color w:val="auto"/>
          <w:kern w:val="12"/>
          <w:szCs w:val="21"/>
          <w:highlight w:val="none"/>
        </w:rPr>
        <w:t>说明：法定代表人（单位负责人）</w:t>
      </w:r>
      <w:r>
        <w:rPr>
          <w:rFonts w:ascii="宋体" w:hAnsi="宋体"/>
          <w:bCs/>
          <w:color w:val="auto"/>
          <w:kern w:val="12"/>
          <w:szCs w:val="21"/>
          <w:highlight w:val="none"/>
        </w:rPr>
        <w:t>参</w:t>
      </w:r>
      <w:r>
        <w:rPr>
          <w:rFonts w:hint="eastAsia" w:ascii="宋体" w:hAnsi="宋体"/>
          <w:bCs/>
          <w:color w:val="auto"/>
          <w:kern w:val="12"/>
          <w:szCs w:val="21"/>
          <w:highlight w:val="none"/>
        </w:rPr>
        <w:t>加本磋商</w:t>
      </w:r>
      <w:r>
        <w:rPr>
          <w:rFonts w:ascii="宋体" w:hAnsi="宋体"/>
          <w:bCs/>
          <w:color w:val="auto"/>
          <w:kern w:val="12"/>
          <w:szCs w:val="21"/>
          <w:highlight w:val="none"/>
        </w:rPr>
        <w:t>项目</w:t>
      </w:r>
      <w:r>
        <w:rPr>
          <w:rFonts w:hint="eastAsia" w:ascii="宋体" w:hAnsi="宋体"/>
          <w:bCs/>
          <w:color w:val="auto"/>
          <w:kern w:val="12"/>
          <w:szCs w:val="21"/>
          <w:highlight w:val="none"/>
        </w:rPr>
        <w:t>响应的，</w:t>
      </w:r>
      <w:r>
        <w:rPr>
          <w:rFonts w:ascii="宋体" w:hAnsi="宋体"/>
          <w:bCs/>
          <w:color w:val="auto"/>
          <w:kern w:val="12"/>
          <w:szCs w:val="21"/>
          <w:highlight w:val="none"/>
        </w:rPr>
        <w:t>仅须</w:t>
      </w:r>
      <w:r>
        <w:rPr>
          <w:rFonts w:hint="eastAsia" w:ascii="宋体" w:hAnsi="宋体"/>
          <w:bCs/>
          <w:color w:val="auto"/>
          <w:kern w:val="12"/>
          <w:szCs w:val="21"/>
          <w:highlight w:val="none"/>
        </w:rPr>
        <w:t>出具此</w:t>
      </w:r>
      <w:r>
        <w:rPr>
          <w:rFonts w:ascii="宋体" w:hAnsi="宋体"/>
          <w:bCs/>
          <w:color w:val="auto"/>
          <w:kern w:val="12"/>
          <w:szCs w:val="21"/>
          <w:highlight w:val="none"/>
        </w:rPr>
        <w:t>证</w:t>
      </w:r>
      <w:r>
        <w:rPr>
          <w:rFonts w:hint="eastAsia" w:ascii="宋体" w:hAnsi="宋体"/>
          <w:bCs/>
          <w:color w:val="auto"/>
          <w:kern w:val="12"/>
          <w:szCs w:val="21"/>
          <w:highlight w:val="none"/>
        </w:rPr>
        <w:t>明</w:t>
      </w:r>
      <w:r>
        <w:rPr>
          <w:rFonts w:ascii="宋体" w:hAnsi="宋体"/>
          <w:bCs/>
          <w:color w:val="auto"/>
          <w:kern w:val="12"/>
          <w:szCs w:val="21"/>
          <w:highlight w:val="none"/>
        </w:rPr>
        <w:t>书</w:t>
      </w:r>
      <w:r>
        <w:rPr>
          <w:rFonts w:hint="eastAsia" w:ascii="宋体" w:hAnsi="宋体"/>
          <w:bCs/>
          <w:color w:val="auto"/>
          <w:kern w:val="12"/>
          <w:szCs w:val="21"/>
          <w:highlight w:val="none"/>
        </w:rPr>
        <w:t>。</w:t>
      </w:r>
    </w:p>
    <w:p w14:paraId="25AAEEB6">
      <w:pPr>
        <w:spacing w:line="480" w:lineRule="exact"/>
        <w:jc w:val="center"/>
        <w:rPr>
          <w:rFonts w:ascii="宋体" w:hAnsi="宋体"/>
          <w:b/>
          <w:bCs/>
          <w:color w:val="auto"/>
          <w:sz w:val="24"/>
          <w:szCs w:val="24"/>
          <w:highlight w:val="none"/>
        </w:rPr>
      </w:pPr>
    </w:p>
    <w:p w14:paraId="4C3392B1">
      <w:pPr>
        <w:spacing w:line="480" w:lineRule="exact"/>
        <w:jc w:val="center"/>
        <w:rPr>
          <w:rFonts w:ascii="宋体" w:hAnsi="宋体"/>
          <w:b/>
          <w:bCs/>
          <w:color w:val="auto"/>
          <w:sz w:val="24"/>
          <w:szCs w:val="24"/>
          <w:highlight w:val="none"/>
        </w:rPr>
      </w:pPr>
      <w:r>
        <w:rPr>
          <w:rFonts w:hint="eastAsia" w:ascii="宋体" w:hAnsi="宋体"/>
          <w:b/>
          <w:bCs/>
          <w:color w:val="auto"/>
          <w:sz w:val="24"/>
          <w:szCs w:val="24"/>
          <w:highlight w:val="none"/>
        </w:rPr>
        <w:br w:type="page"/>
      </w:r>
      <w:r>
        <w:rPr>
          <w:rFonts w:hint="eastAsia" w:ascii="宋体" w:hAnsi="宋体"/>
          <w:b/>
          <w:bCs/>
          <w:color w:val="auto"/>
          <w:sz w:val="24"/>
          <w:szCs w:val="24"/>
          <w:highlight w:val="none"/>
        </w:rPr>
        <w:t>3.3 法定代表人（单位负责人）授权书</w:t>
      </w:r>
    </w:p>
    <w:p w14:paraId="1AAD233A">
      <w:pPr>
        <w:spacing w:line="480" w:lineRule="exact"/>
        <w:jc w:val="center"/>
        <w:rPr>
          <w:rFonts w:ascii="宋体" w:hAnsi="宋体"/>
          <w:b/>
          <w:bCs/>
          <w:color w:val="auto"/>
          <w:sz w:val="36"/>
          <w:szCs w:val="36"/>
          <w:highlight w:val="none"/>
        </w:rPr>
      </w:pPr>
    </w:p>
    <w:p w14:paraId="5F6FAD00">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本人</w:t>
      </w:r>
      <w:r>
        <w:rPr>
          <w:rFonts w:hint="eastAsia" w:ascii="宋体" w:hAnsi="宋体" w:cs="Arial"/>
          <w:color w:val="auto"/>
          <w:szCs w:val="21"/>
          <w:highlight w:val="none"/>
          <w:u w:val="single"/>
        </w:rPr>
        <w:t xml:space="preserve">　 </w:t>
      </w:r>
      <w:r>
        <w:rPr>
          <w:rFonts w:hint="eastAsia" w:ascii="宋体" w:hAnsi="宋体"/>
          <w:i/>
          <w:snapToGrid w:val="0"/>
          <w:color w:val="auto"/>
          <w:szCs w:val="21"/>
          <w:highlight w:val="none"/>
          <w:u w:val="single"/>
        </w:rPr>
        <w:t>法人姓名</w:t>
      </w:r>
      <w:r>
        <w:rPr>
          <w:rFonts w:hint="eastAsia" w:ascii="宋体" w:hAnsi="宋体" w:cs="Arial"/>
          <w:color w:val="auto"/>
          <w:szCs w:val="21"/>
          <w:highlight w:val="none"/>
        </w:rPr>
        <w:t>系</w:t>
      </w:r>
      <w:r>
        <w:rPr>
          <w:rFonts w:hint="eastAsia" w:ascii="宋体" w:hAnsi="宋体" w:cs="Arial"/>
          <w:color w:val="auto"/>
          <w:szCs w:val="21"/>
          <w:highlight w:val="none"/>
          <w:u w:val="single"/>
        </w:rPr>
        <w:t>　</w:t>
      </w:r>
      <w:r>
        <w:rPr>
          <w:rFonts w:hint="eastAsia" w:ascii="宋体" w:hAnsi="宋体"/>
          <w:i/>
          <w:snapToGrid w:val="0"/>
          <w:color w:val="auto"/>
          <w:szCs w:val="21"/>
          <w:highlight w:val="none"/>
          <w:u w:val="single"/>
        </w:rPr>
        <w:t xml:space="preserve">供应商名称  </w:t>
      </w:r>
      <w:r>
        <w:rPr>
          <w:rFonts w:hint="eastAsia" w:ascii="宋体" w:hAnsi="宋体" w:cs="Arial"/>
          <w:color w:val="auto"/>
          <w:szCs w:val="21"/>
          <w:highlight w:val="none"/>
        </w:rPr>
        <w:t>的法定代表人（单位负责人），现委托</w:t>
      </w:r>
      <w:r>
        <w:rPr>
          <w:rFonts w:hint="eastAsia" w:ascii="宋体" w:hAnsi="宋体" w:cs="Arial"/>
          <w:color w:val="auto"/>
          <w:szCs w:val="21"/>
          <w:highlight w:val="none"/>
          <w:u w:val="single"/>
        </w:rPr>
        <w:t xml:space="preserve">　 </w:t>
      </w:r>
      <w:r>
        <w:rPr>
          <w:rFonts w:hint="eastAsia" w:ascii="宋体" w:hAnsi="宋体"/>
          <w:i/>
          <w:snapToGrid w:val="0"/>
          <w:color w:val="auto"/>
          <w:szCs w:val="21"/>
          <w:highlight w:val="none"/>
          <w:u w:val="single"/>
        </w:rPr>
        <w:t>姓名，职务</w:t>
      </w:r>
      <w:r>
        <w:rPr>
          <w:rFonts w:hint="eastAsia" w:ascii="宋体" w:hAnsi="宋体" w:cs="Arial"/>
          <w:color w:val="auto"/>
          <w:szCs w:val="21"/>
          <w:highlight w:val="none"/>
        </w:rPr>
        <w:t>以我方的名义参加贵方______________________项目的投标活动，并代表我方全权办理针对上述项目的</w:t>
      </w:r>
      <w:r>
        <w:rPr>
          <w:rFonts w:hint="eastAsia" w:ascii="宋体" w:hAnsi="宋体"/>
          <w:color w:val="auto"/>
          <w:szCs w:val="21"/>
          <w:highlight w:val="none"/>
        </w:rPr>
        <w:t>响应文件提交、解密、磋商、响应文件澄清、签约等一切具体事务和签署相关文件。</w:t>
      </w:r>
    </w:p>
    <w:p w14:paraId="241E4DC4">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我方对被授权人的签名事项负全部责任。</w:t>
      </w:r>
    </w:p>
    <w:p w14:paraId="5BEDE82A">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在贵方收到我方撤销授权的书面通知以前，本授权书一直有效。被授权人在授权书有效期内签署的所有文件不因授权的撤销而失效。除我方书面撤销授权外，本授权书自投标截止之日起直至我方的响应有效期结束前始终有效。</w:t>
      </w:r>
    </w:p>
    <w:p w14:paraId="67CE31CF">
      <w:pPr>
        <w:adjustRightInd w:val="0"/>
        <w:spacing w:line="360" w:lineRule="auto"/>
        <w:ind w:firstLine="441" w:firstLineChars="210"/>
        <w:contextualSpacing/>
        <w:rPr>
          <w:rFonts w:ascii="宋体" w:hAnsi="宋体" w:cs="Arial"/>
          <w:color w:val="auto"/>
          <w:szCs w:val="21"/>
          <w:highlight w:val="none"/>
        </w:rPr>
      </w:pPr>
      <w:r>
        <w:rPr>
          <w:rFonts w:hint="eastAsia" w:ascii="宋体" w:hAnsi="宋体" w:cs="Arial"/>
          <w:color w:val="auto"/>
          <w:szCs w:val="21"/>
          <w:highlight w:val="none"/>
        </w:rPr>
        <w:t>被授权人无转委托权，特此委托。</w:t>
      </w:r>
    </w:p>
    <w:p w14:paraId="0C6C16F0">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供应商名称： </w:t>
      </w:r>
      <w:r>
        <w:rPr>
          <w:rFonts w:hint="eastAsia" w:ascii="宋体" w:hAnsi="宋体"/>
          <w:color w:val="auto"/>
          <w:szCs w:val="21"/>
          <w:highlight w:val="none"/>
          <w:u w:val="single"/>
        </w:rPr>
        <w:t xml:space="preserve">       （全称）       </w:t>
      </w:r>
      <w:r>
        <w:rPr>
          <w:rFonts w:hint="eastAsia" w:ascii="宋体" w:hAnsi="宋体"/>
          <w:color w:val="auto"/>
          <w:szCs w:val="21"/>
          <w:highlight w:val="none"/>
        </w:rPr>
        <w:t xml:space="preserve"> （盖单位公章）</w:t>
      </w:r>
    </w:p>
    <w:p w14:paraId="63F6AD3D">
      <w:pPr>
        <w:spacing w:line="480" w:lineRule="auto"/>
        <w:ind w:firstLine="420" w:firstLineChars="200"/>
        <w:rPr>
          <w:rFonts w:ascii="宋体" w:hAnsi="宋体" w:cs="Arial"/>
          <w:color w:val="auto"/>
          <w:szCs w:val="21"/>
          <w:highlight w:val="none"/>
        </w:rPr>
      </w:pPr>
      <w:r>
        <w:rPr>
          <w:rFonts w:hint="eastAsia" w:ascii="宋体" w:hAnsi="宋体" w:cs="Arial"/>
          <w:color w:val="auto"/>
          <w:szCs w:val="21"/>
          <w:highlight w:val="none"/>
        </w:rPr>
        <w:t>法定代表人（单位负责人）： （签字或加盖名章）</w:t>
      </w:r>
    </w:p>
    <w:p w14:paraId="55CA54C7">
      <w:pPr>
        <w:spacing w:line="480" w:lineRule="auto"/>
        <w:ind w:firstLine="420" w:firstLineChars="200"/>
        <w:rPr>
          <w:rFonts w:ascii="宋体" w:hAnsi="宋体"/>
          <w:color w:val="auto"/>
          <w:szCs w:val="21"/>
          <w:highlight w:val="none"/>
        </w:rPr>
      </w:pPr>
      <w:r>
        <w:rPr>
          <w:rFonts w:hint="eastAsia" w:ascii="宋体" w:hAnsi="宋体" w:cs="Arial"/>
          <w:color w:val="auto"/>
          <w:szCs w:val="21"/>
          <w:highlight w:val="none"/>
        </w:rPr>
        <w:t>法定代表人（单位负责人）</w:t>
      </w:r>
      <w:r>
        <w:rPr>
          <w:rFonts w:hint="eastAsia" w:ascii="宋体" w:hAnsi="宋体"/>
          <w:color w:val="auto"/>
          <w:szCs w:val="21"/>
          <w:highlight w:val="none"/>
        </w:rPr>
        <w:t>授权代表：  （签字或加盖名章）</w:t>
      </w:r>
    </w:p>
    <w:p w14:paraId="33E6C537">
      <w:pPr>
        <w:spacing w:line="480" w:lineRule="auto"/>
        <w:ind w:firstLine="420" w:firstLineChars="200"/>
        <w:rPr>
          <w:rFonts w:ascii="宋体" w:hAnsi="宋体"/>
          <w:color w:val="auto"/>
          <w:szCs w:val="21"/>
          <w:highlight w:val="none"/>
        </w:rPr>
      </w:pPr>
      <w:r>
        <w:rPr>
          <w:rFonts w:hint="eastAsia" w:ascii="宋体" w:hAnsi="宋体" w:cs="Arial"/>
          <w:color w:val="auto"/>
          <w:szCs w:val="21"/>
          <w:highlight w:val="none"/>
        </w:rPr>
        <w:t>法定代表人（单位负责人）</w:t>
      </w:r>
      <w:r>
        <w:rPr>
          <w:rFonts w:hint="eastAsia" w:ascii="宋体" w:hAnsi="宋体"/>
          <w:color w:val="auto"/>
          <w:szCs w:val="21"/>
          <w:highlight w:val="none"/>
        </w:rPr>
        <w:t>授权代表联系电话（手机）：</w:t>
      </w:r>
    </w:p>
    <w:tbl>
      <w:tblPr>
        <w:tblStyle w:val="3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2764B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636" w:hRule="atLeast"/>
        </w:trPr>
        <w:tc>
          <w:tcPr>
            <w:tcW w:w="4484" w:type="dxa"/>
            <w:vAlign w:val="center"/>
          </w:tcPr>
          <w:p w14:paraId="6C9B6EC4">
            <w:pPr>
              <w:jc w:val="center"/>
              <w:rPr>
                <w:rFonts w:ascii="宋体" w:hAnsi="宋体"/>
                <w:color w:val="auto"/>
                <w:szCs w:val="21"/>
                <w:highlight w:val="none"/>
              </w:rPr>
            </w:pPr>
            <w:r>
              <w:rPr>
                <w:rFonts w:hint="eastAsia" w:ascii="宋体" w:hAnsi="宋体"/>
                <w:color w:val="auto"/>
                <w:szCs w:val="21"/>
                <w:highlight w:val="none"/>
              </w:rPr>
              <w:t>法定代表人（单位负责人）身份证（正面）</w:t>
            </w:r>
          </w:p>
        </w:tc>
        <w:tc>
          <w:tcPr>
            <w:tcW w:w="4485" w:type="dxa"/>
            <w:gridSpan w:val="2"/>
            <w:vAlign w:val="center"/>
          </w:tcPr>
          <w:p w14:paraId="023CAED8">
            <w:pPr>
              <w:jc w:val="center"/>
              <w:rPr>
                <w:rFonts w:ascii="宋体" w:hAnsi="宋体"/>
                <w:color w:val="auto"/>
                <w:szCs w:val="21"/>
                <w:highlight w:val="none"/>
              </w:rPr>
            </w:pPr>
            <w:r>
              <w:rPr>
                <w:rFonts w:hint="eastAsia" w:ascii="宋体" w:hAnsi="宋体"/>
                <w:color w:val="auto"/>
                <w:szCs w:val="21"/>
                <w:highlight w:val="none"/>
              </w:rPr>
              <w:t>法定代表人（单位负责人）身份证（反面）</w:t>
            </w:r>
          </w:p>
        </w:tc>
      </w:tr>
      <w:tr w14:paraId="3BCE5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1" w:hRule="atLeast"/>
        </w:trPr>
        <w:tc>
          <w:tcPr>
            <w:tcW w:w="4491" w:type="dxa"/>
            <w:gridSpan w:val="2"/>
            <w:vAlign w:val="center"/>
          </w:tcPr>
          <w:p w14:paraId="3712BFE5">
            <w:pPr>
              <w:jc w:val="center"/>
              <w:rPr>
                <w:rFonts w:ascii="宋体" w:hAnsi="宋体"/>
                <w:color w:val="auto"/>
                <w:szCs w:val="21"/>
                <w:highlight w:val="none"/>
              </w:rPr>
            </w:pPr>
            <w:bookmarkStart w:id="23" w:name="_资格证明文件"/>
            <w:bookmarkEnd w:id="23"/>
            <w:bookmarkStart w:id="24" w:name="_Toc364329026"/>
            <w:r>
              <w:rPr>
                <w:rFonts w:hint="eastAsia" w:ascii="宋体" w:hAnsi="宋体"/>
                <w:color w:val="auto"/>
                <w:szCs w:val="21"/>
                <w:highlight w:val="none"/>
              </w:rPr>
              <w:t>法定代表人（单位负责人）授权代表身份证</w:t>
            </w:r>
          </w:p>
          <w:p w14:paraId="71CE0BF5">
            <w:pPr>
              <w:jc w:val="center"/>
              <w:rPr>
                <w:rFonts w:ascii="宋体" w:hAnsi="宋体"/>
                <w:color w:val="auto"/>
                <w:szCs w:val="21"/>
                <w:highlight w:val="none"/>
              </w:rPr>
            </w:pPr>
            <w:r>
              <w:rPr>
                <w:rFonts w:hint="eastAsia" w:ascii="宋体" w:hAnsi="宋体"/>
                <w:color w:val="auto"/>
                <w:szCs w:val="21"/>
                <w:highlight w:val="none"/>
              </w:rPr>
              <w:t>（正面）</w:t>
            </w:r>
            <w:bookmarkEnd w:id="24"/>
          </w:p>
        </w:tc>
        <w:tc>
          <w:tcPr>
            <w:tcW w:w="4492" w:type="dxa"/>
            <w:gridSpan w:val="2"/>
            <w:vAlign w:val="center"/>
          </w:tcPr>
          <w:p w14:paraId="57ED14A1">
            <w:pPr>
              <w:jc w:val="center"/>
              <w:rPr>
                <w:rFonts w:ascii="宋体" w:hAnsi="宋体"/>
                <w:color w:val="auto"/>
                <w:szCs w:val="21"/>
                <w:highlight w:val="none"/>
              </w:rPr>
            </w:pPr>
            <w:bookmarkStart w:id="25" w:name="_Toc364329027"/>
            <w:r>
              <w:rPr>
                <w:rFonts w:hint="eastAsia" w:ascii="宋体" w:hAnsi="宋体"/>
                <w:color w:val="auto"/>
                <w:szCs w:val="21"/>
                <w:highlight w:val="none"/>
              </w:rPr>
              <w:t>法定代表人（单位负责人）授权代表身份证</w:t>
            </w:r>
          </w:p>
          <w:p w14:paraId="185A3213">
            <w:pPr>
              <w:jc w:val="center"/>
              <w:rPr>
                <w:rFonts w:ascii="宋体" w:hAnsi="宋体"/>
                <w:color w:val="auto"/>
                <w:szCs w:val="21"/>
                <w:highlight w:val="none"/>
              </w:rPr>
            </w:pPr>
            <w:r>
              <w:rPr>
                <w:rFonts w:hint="eastAsia" w:ascii="宋体" w:hAnsi="宋体"/>
                <w:color w:val="auto"/>
                <w:szCs w:val="21"/>
                <w:highlight w:val="none"/>
              </w:rPr>
              <w:t>（反面）</w:t>
            </w:r>
            <w:bookmarkEnd w:id="25"/>
          </w:p>
        </w:tc>
      </w:tr>
    </w:tbl>
    <w:p w14:paraId="52624095">
      <w:pPr>
        <w:widowControl/>
        <w:spacing w:before="100" w:beforeAutospacing="1" w:after="100" w:afterAutospacing="1" w:line="360" w:lineRule="auto"/>
        <w:jc w:val="center"/>
        <w:rPr>
          <w:rFonts w:ascii="宋体" w:hAnsi="宋体"/>
          <w:b/>
          <w:bCs/>
          <w:color w:val="auto"/>
          <w:sz w:val="24"/>
          <w:szCs w:val="24"/>
          <w:highlight w:val="none"/>
        </w:rPr>
      </w:pPr>
      <w:r>
        <w:rPr>
          <w:rFonts w:hint="eastAsia" w:ascii="宋体" w:hAnsi="宋体"/>
          <w:b/>
          <w:bCs/>
          <w:color w:val="auto"/>
          <w:sz w:val="24"/>
          <w:szCs w:val="24"/>
          <w:highlight w:val="none"/>
        </w:rPr>
        <w:t>3.4 没有重大违法记录的声明</w:t>
      </w:r>
    </w:p>
    <w:p w14:paraId="442A9E3D">
      <w:pPr>
        <w:spacing w:before="156" w:beforeLines="50" w:after="156" w:afterLines="50"/>
        <w:jc w:val="center"/>
        <w:rPr>
          <w:rFonts w:ascii="宋体" w:hAnsi="宋体" w:cs="Arial"/>
          <w:color w:val="auto"/>
          <w:kern w:val="0"/>
          <w:sz w:val="28"/>
          <w:szCs w:val="28"/>
          <w:highlight w:val="none"/>
        </w:rPr>
      </w:pPr>
      <w:r>
        <w:rPr>
          <w:rFonts w:hint="eastAsia" w:ascii="宋体" w:hAnsi="宋体" w:cs="Arial"/>
          <w:color w:val="auto"/>
          <w:kern w:val="0"/>
          <w:sz w:val="28"/>
          <w:szCs w:val="28"/>
          <w:highlight w:val="none"/>
        </w:rPr>
        <w:t>声　   明</w:t>
      </w:r>
    </w:p>
    <w:p w14:paraId="48174189">
      <w:pPr>
        <w:spacing w:before="156" w:beforeLines="50" w:after="156" w:afterLines="50" w:line="360" w:lineRule="auto"/>
        <w:ind w:firstLine="420" w:firstLineChars="200"/>
        <w:rPr>
          <w:rFonts w:ascii="宋体" w:hAnsi="宋体"/>
          <w:color w:val="auto"/>
          <w:szCs w:val="21"/>
          <w:highlight w:val="none"/>
          <w:lang w:val="zh-CN"/>
        </w:rPr>
      </w:pPr>
      <w:r>
        <w:rPr>
          <w:rFonts w:hint="eastAsia" w:ascii="宋体" w:hAnsi="宋体"/>
          <w:color w:val="auto"/>
          <w:szCs w:val="21"/>
          <w:highlight w:val="none"/>
          <w:lang w:val="zh-CN"/>
        </w:rPr>
        <w:t>本公司参加本次采购活动前三年内，在经营活动中没有重大违法记录。（重大违法记录，是指因违法经营受到刑事处罚或者责令停产停业、吊销许可证或者执照、较大数额罚款等行政处罚。）</w:t>
      </w:r>
    </w:p>
    <w:p w14:paraId="574DC8BD">
      <w:pPr>
        <w:spacing w:before="156" w:beforeLines="50" w:after="156" w:afterLines="50" w:line="360" w:lineRule="auto"/>
        <w:ind w:firstLine="420" w:firstLineChars="200"/>
        <w:rPr>
          <w:rFonts w:ascii="宋体" w:hAnsi="宋体"/>
          <w:color w:val="auto"/>
          <w:szCs w:val="21"/>
          <w:highlight w:val="none"/>
          <w:lang w:val="zh-CN"/>
        </w:rPr>
      </w:pPr>
      <w:r>
        <w:rPr>
          <w:rFonts w:hint="eastAsia" w:ascii="宋体" w:hAnsi="宋体"/>
          <w:color w:val="auto"/>
          <w:szCs w:val="21"/>
          <w:highlight w:val="none"/>
          <w:lang w:val="zh-CN"/>
        </w:rPr>
        <w:t>特此声明。</w:t>
      </w:r>
    </w:p>
    <w:p w14:paraId="674D578A">
      <w:pPr>
        <w:spacing w:before="156" w:beforeLines="50" w:after="156" w:afterLines="50" w:line="360" w:lineRule="auto"/>
        <w:ind w:firstLine="420" w:firstLineChars="200"/>
        <w:rPr>
          <w:rFonts w:ascii="宋体" w:hAnsi="宋体"/>
          <w:color w:val="auto"/>
          <w:szCs w:val="21"/>
          <w:highlight w:val="none"/>
          <w:lang w:val="zh-CN"/>
        </w:rPr>
      </w:pPr>
      <w:r>
        <w:rPr>
          <w:rFonts w:hint="eastAsia" w:ascii="宋体" w:hAnsi="宋体"/>
          <w:color w:val="auto"/>
          <w:szCs w:val="21"/>
          <w:highlight w:val="none"/>
          <w:lang w:val="zh-CN"/>
        </w:rPr>
        <w:t>本公司对上述声明的真实性负责。如有虚假，将依法承担相应责任。</w:t>
      </w:r>
    </w:p>
    <w:p w14:paraId="18834E98">
      <w:pPr>
        <w:spacing w:before="156" w:beforeLines="50" w:after="156" w:afterLines="50" w:line="360" w:lineRule="auto"/>
        <w:ind w:firstLine="495" w:firstLineChars="236"/>
        <w:rPr>
          <w:rFonts w:ascii="宋体" w:hAnsi="宋体"/>
          <w:color w:val="auto"/>
          <w:szCs w:val="21"/>
          <w:highlight w:val="none"/>
          <w:lang w:val="zh-CN"/>
        </w:rPr>
      </w:pPr>
    </w:p>
    <w:p w14:paraId="798C7C44">
      <w:pPr>
        <w:spacing w:before="156" w:beforeLines="50" w:after="156" w:afterLines="50" w:line="360" w:lineRule="auto"/>
        <w:ind w:right="420" w:firstLine="4800" w:firstLineChars="2286"/>
        <w:rPr>
          <w:rFonts w:ascii="宋体" w:hAnsi="宋体"/>
          <w:color w:val="auto"/>
          <w:szCs w:val="21"/>
          <w:highlight w:val="none"/>
          <w:lang w:val="zh-CN"/>
        </w:rPr>
      </w:pPr>
      <w:r>
        <w:rPr>
          <w:rFonts w:hint="eastAsia" w:ascii="宋体" w:hAnsi="宋体"/>
          <w:color w:val="auto"/>
          <w:szCs w:val="21"/>
          <w:highlight w:val="none"/>
          <w:lang w:val="zh-CN"/>
        </w:rPr>
        <w:t>供应商名称（盖章）：</w:t>
      </w:r>
    </w:p>
    <w:p w14:paraId="5F302C8B">
      <w:pPr>
        <w:spacing w:before="156" w:beforeLines="50" w:after="156" w:afterLines="50" w:line="360" w:lineRule="auto"/>
        <w:ind w:right="420" w:firstLine="4800" w:firstLineChars="2286"/>
        <w:rPr>
          <w:rFonts w:ascii="宋体" w:hAnsi="宋体"/>
          <w:color w:val="auto"/>
          <w:szCs w:val="21"/>
          <w:highlight w:val="none"/>
          <w:lang w:val="zh-CN"/>
        </w:rPr>
      </w:pPr>
      <w:r>
        <w:rPr>
          <w:rFonts w:hint="eastAsia" w:ascii="宋体" w:hAnsi="宋体"/>
          <w:color w:val="auto"/>
          <w:szCs w:val="21"/>
          <w:highlight w:val="none"/>
          <w:lang w:val="zh-CN"/>
        </w:rPr>
        <w:t xml:space="preserve">日    期：     </w:t>
      </w:r>
      <w:r>
        <w:rPr>
          <w:rFonts w:hint="eastAsia" w:ascii="宋体" w:hAnsi="宋体"/>
          <w:color w:val="auto"/>
          <w:szCs w:val="21"/>
          <w:highlight w:val="none"/>
        </w:rPr>
        <w:t>年    月    日</w:t>
      </w:r>
    </w:p>
    <w:p w14:paraId="2ECE03C0">
      <w:pPr>
        <w:spacing w:before="156" w:beforeLines="50" w:after="156" w:afterLines="50" w:line="360" w:lineRule="auto"/>
        <w:ind w:right="420" w:firstLine="4800" w:firstLineChars="2286"/>
        <w:rPr>
          <w:rFonts w:ascii="宋体" w:hAnsi="宋体"/>
          <w:color w:val="auto"/>
          <w:szCs w:val="21"/>
          <w:highlight w:val="none"/>
          <w:lang w:val="zh-CN"/>
        </w:rPr>
      </w:pPr>
    </w:p>
    <w:p w14:paraId="71D75FB6">
      <w:pPr>
        <w:spacing w:before="156" w:beforeLines="50" w:after="156" w:afterLines="50" w:line="360" w:lineRule="auto"/>
        <w:ind w:right="420" w:firstLine="5486" w:firstLineChars="2286"/>
        <w:rPr>
          <w:rFonts w:ascii="宋体" w:hAnsi="宋体"/>
          <w:color w:val="auto"/>
          <w:sz w:val="24"/>
          <w:szCs w:val="24"/>
          <w:highlight w:val="none"/>
          <w:lang w:val="zh-CN"/>
        </w:rPr>
      </w:pPr>
    </w:p>
    <w:p w14:paraId="78E95C42">
      <w:pPr>
        <w:spacing w:before="156" w:beforeLines="50" w:after="156" w:afterLines="50" w:line="360" w:lineRule="auto"/>
        <w:ind w:right="420" w:firstLine="5486" w:firstLineChars="2286"/>
        <w:rPr>
          <w:rFonts w:ascii="宋体" w:hAnsi="宋体"/>
          <w:color w:val="auto"/>
          <w:sz w:val="24"/>
          <w:szCs w:val="24"/>
          <w:highlight w:val="none"/>
          <w:lang w:val="zh-CN"/>
        </w:rPr>
      </w:pPr>
    </w:p>
    <w:p w14:paraId="409648DE">
      <w:pPr>
        <w:spacing w:before="156" w:beforeLines="50" w:after="156" w:afterLines="50" w:line="360" w:lineRule="auto"/>
        <w:ind w:right="420" w:firstLine="5486" w:firstLineChars="2286"/>
        <w:rPr>
          <w:rFonts w:ascii="宋体" w:hAnsi="宋体"/>
          <w:color w:val="auto"/>
          <w:sz w:val="24"/>
          <w:szCs w:val="24"/>
          <w:highlight w:val="none"/>
          <w:lang w:val="zh-CN"/>
        </w:rPr>
      </w:pPr>
    </w:p>
    <w:p w14:paraId="4DC945B4">
      <w:pPr>
        <w:pStyle w:val="3"/>
        <w:numPr>
          <w:ilvl w:val="0"/>
          <w:numId w:val="0"/>
        </w:numPr>
        <w:ind w:left="288"/>
        <w:rPr>
          <w:color w:val="auto"/>
          <w:highlight w:val="none"/>
          <w:lang w:val="zh-CN"/>
        </w:rPr>
      </w:pPr>
    </w:p>
    <w:p w14:paraId="79322B1D">
      <w:pPr>
        <w:spacing w:before="156" w:beforeLines="50" w:after="156" w:afterLines="50" w:line="360" w:lineRule="auto"/>
        <w:ind w:right="420" w:firstLine="5486" w:firstLineChars="2286"/>
        <w:rPr>
          <w:rFonts w:ascii="宋体" w:hAnsi="宋体"/>
          <w:color w:val="auto"/>
          <w:sz w:val="24"/>
          <w:szCs w:val="24"/>
          <w:highlight w:val="none"/>
          <w:lang w:val="zh-CN"/>
        </w:rPr>
      </w:pPr>
    </w:p>
    <w:p w14:paraId="00D735A1">
      <w:pPr>
        <w:spacing w:before="156" w:beforeLines="50" w:after="156" w:afterLines="50" w:line="360" w:lineRule="auto"/>
        <w:ind w:right="420" w:firstLine="5486" w:firstLineChars="2286"/>
        <w:rPr>
          <w:rFonts w:ascii="宋体" w:hAnsi="宋体"/>
          <w:color w:val="auto"/>
          <w:sz w:val="24"/>
          <w:szCs w:val="24"/>
          <w:highlight w:val="none"/>
          <w:lang w:val="zh-CN"/>
        </w:rPr>
      </w:pPr>
    </w:p>
    <w:p w14:paraId="47A7C5D4">
      <w:pPr>
        <w:spacing w:before="156" w:beforeLines="50" w:after="156" w:afterLines="50" w:line="360" w:lineRule="auto"/>
        <w:ind w:right="420" w:firstLine="5486" w:firstLineChars="2286"/>
        <w:rPr>
          <w:rFonts w:ascii="宋体" w:hAnsi="宋体"/>
          <w:color w:val="auto"/>
          <w:sz w:val="24"/>
          <w:szCs w:val="24"/>
          <w:highlight w:val="none"/>
          <w:lang w:val="zh-CN"/>
        </w:rPr>
      </w:pPr>
    </w:p>
    <w:p w14:paraId="307209BA">
      <w:pPr>
        <w:autoSpaceDE w:val="0"/>
        <w:autoSpaceDN w:val="0"/>
        <w:adjustRightInd w:val="0"/>
        <w:spacing w:line="360" w:lineRule="auto"/>
        <w:jc w:val="center"/>
        <w:outlineLvl w:val="0"/>
        <w:rPr>
          <w:rFonts w:ascii="宋体" w:hAnsi="宋体"/>
          <w:b/>
          <w:bCs/>
          <w:color w:val="auto"/>
          <w:sz w:val="24"/>
          <w:szCs w:val="24"/>
          <w:highlight w:val="none"/>
        </w:rPr>
      </w:pPr>
    </w:p>
    <w:p w14:paraId="57269C7B">
      <w:pPr>
        <w:widowControl/>
        <w:spacing w:before="100" w:beforeAutospacing="1" w:after="100" w:afterAutospacing="1" w:line="360" w:lineRule="auto"/>
        <w:rPr>
          <w:rFonts w:ascii="宋体" w:hAnsi="宋体"/>
          <w:b/>
          <w:bCs/>
          <w:color w:val="auto"/>
          <w:sz w:val="24"/>
          <w:szCs w:val="24"/>
          <w:highlight w:val="none"/>
        </w:rPr>
      </w:pPr>
    </w:p>
    <w:p w14:paraId="5E218E0E">
      <w:pPr>
        <w:widowControl/>
        <w:spacing w:before="100" w:beforeAutospacing="1" w:after="100" w:afterAutospacing="1"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3.5 许昌市政府采购供应商信用承诺函 </w:t>
      </w:r>
    </w:p>
    <w:p w14:paraId="0F98778B">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致（采购人名称）： </w:t>
      </w:r>
    </w:p>
    <w:p w14:paraId="1223E85F">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单位名称（自然人姓名）： </w:t>
      </w:r>
    </w:p>
    <w:p w14:paraId="221B14DF">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统一社会信用代码（身份证号码）： </w:t>
      </w:r>
    </w:p>
    <w:p w14:paraId="5F71F9D8">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法定代表人（负责人）： </w:t>
      </w:r>
    </w:p>
    <w:p w14:paraId="76832F85">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联系地址和电话： </w:t>
      </w:r>
    </w:p>
    <w:p w14:paraId="3C0F7D28">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为维护公平、公正、公开的政府采购市场秩序，树立诚实守信的政府采购供应商形象，我单位（本人）自愿作出以下承诺： </w:t>
      </w:r>
    </w:p>
    <w:p w14:paraId="7FE184E8">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一、我单位（本人）自愿参加本次政府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 </w:t>
      </w:r>
    </w:p>
    <w:p w14:paraId="55E1482A">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（一）具有独立承担民事责任的能力； </w:t>
      </w:r>
    </w:p>
    <w:p w14:paraId="2BD77189">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（二）具有良好的商业信誉和健全的财务会计制度； </w:t>
      </w:r>
    </w:p>
    <w:p w14:paraId="4E7643AE">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（三）具有履行合同所必需的设备和专业技术能力； </w:t>
      </w:r>
    </w:p>
    <w:p w14:paraId="1FF90D32">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（四）有依法缴纳税收和社会保障资金的良好记录； </w:t>
      </w:r>
    </w:p>
    <w:p w14:paraId="45EDCBD5">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（五）参加政府采购活动前三年内，在经营活动中没有重大违法记录； </w:t>
      </w:r>
    </w:p>
    <w:p w14:paraId="278854F8">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（六）未被列入经营异常名录或者严重违法失信名单、失信被执行人，重大税收违法案件当事人名单、政府采购严重违法失信行为记录名单； </w:t>
      </w:r>
    </w:p>
    <w:p w14:paraId="19C445E9">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（七）未被相关监管部门作出行政处罚且尚在处罚有效期的； </w:t>
      </w:r>
    </w:p>
    <w:p w14:paraId="4CA31F30">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（八）未曾作出虚假采购承诺； </w:t>
      </w:r>
    </w:p>
    <w:p w14:paraId="532A72BB">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（九）符合法律、行政法规规定的其他条件。</w:t>
      </w:r>
    </w:p>
    <w:p w14:paraId="49AC249D">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二、我单位（本人）保证上述承诺事项的真实性。如有弄虚作假或其他违法违规行为，自愿按照规定将违背承诺行为作为失信行为记录到社会信用信息平台，并视同为“提供虚假材料谋取中标、成交”按照《中华人民共和国政府采购法》第七十七、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 </w:t>
      </w:r>
    </w:p>
    <w:p w14:paraId="3B00411B">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p>
    <w:p w14:paraId="1487D0A2">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p>
    <w:p w14:paraId="4B7D4416">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供应商（</w:t>
      </w:r>
      <w:r>
        <w:rPr>
          <w:rFonts w:hint="eastAsia" w:ascii="宋体" w:hAnsi="宋体" w:cs="宋体"/>
          <w:color w:val="000000" w:themeColor="text1"/>
          <w:szCs w:val="21"/>
          <w14:textFill>
            <w14:solidFill>
              <w14:schemeClr w14:val="tx1"/>
            </w14:solidFill>
          </w14:textFill>
        </w:rPr>
        <w:t>公章</w:t>
      </w:r>
      <w:r>
        <w:rPr>
          <w:rFonts w:hint="eastAsia" w:ascii="宋体" w:hAnsi="宋体" w:cs="宋体"/>
          <w:color w:val="000000" w:themeColor="text1"/>
          <w:szCs w:val="21"/>
          <w:lang w:val="zh-CN"/>
          <w14:textFill>
            <w14:solidFill>
              <w14:schemeClr w14:val="tx1"/>
            </w14:solidFill>
          </w14:textFill>
        </w:rPr>
        <w:t xml:space="preserve">）： </w:t>
      </w:r>
    </w:p>
    <w:p w14:paraId="3C367AF1">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法定代表人、负责人、本人或授权代表（签字或</w:t>
      </w:r>
      <w:r>
        <w:rPr>
          <w:rFonts w:hint="eastAsia" w:ascii="宋体" w:hAnsi="宋体" w:cs="宋体"/>
          <w:color w:val="000000" w:themeColor="text1"/>
          <w:szCs w:val="21"/>
          <w14:textFill>
            <w14:solidFill>
              <w14:schemeClr w14:val="tx1"/>
            </w14:solidFill>
          </w14:textFill>
        </w:rPr>
        <w:t>盖</w:t>
      </w:r>
      <w:r>
        <w:rPr>
          <w:rFonts w:hint="eastAsia" w:ascii="宋体" w:hAnsi="宋体" w:cs="宋体"/>
          <w:color w:val="000000" w:themeColor="text1"/>
          <w:szCs w:val="21"/>
          <w:lang w:val="zh-CN"/>
          <w14:textFill>
            <w14:solidFill>
              <w14:schemeClr w14:val="tx1"/>
            </w14:solidFill>
          </w14:textFill>
        </w:rPr>
        <w:t xml:space="preserve">章）： </w:t>
      </w:r>
    </w:p>
    <w:p w14:paraId="4A657814">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日期： 年 月 日 </w:t>
      </w:r>
    </w:p>
    <w:p w14:paraId="42A39815">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p>
    <w:p w14:paraId="1BAD75B9">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p>
    <w:p w14:paraId="52069B58">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 xml:space="preserve">注：1.供应商须在投标文件中按此模板提供承诺函，未提供视为未实质性响应招标文件要求，按无效投标处理。 </w:t>
      </w:r>
    </w:p>
    <w:p w14:paraId="22A486A1">
      <w:pPr>
        <w:spacing w:before="156" w:beforeLines="50" w:after="156" w:afterLines="50" w:line="360" w:lineRule="auto"/>
        <w:ind w:firstLine="420" w:firstLineChars="200"/>
        <w:contextualSpacing/>
        <w:rPr>
          <w:rFonts w:ascii="宋体" w:hAnsi="宋体" w:cs="宋体"/>
          <w:color w:val="000000" w:themeColor="text1"/>
          <w:szCs w:val="21"/>
          <w:lang w:val="zh-CN"/>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2.供应商的法定代表人或者授权代表的签字或盖章应真实、有效，如由授权代表签字或盖章的，应提供“法定代表人授权书”。</w:t>
      </w:r>
    </w:p>
    <w:p w14:paraId="62EF4CA6">
      <w:pPr>
        <w:rPr>
          <w:color w:val="auto"/>
          <w:sz w:val="28"/>
          <w:szCs w:val="28"/>
          <w:highlight w:val="none"/>
          <w:u w:val="single"/>
        </w:rPr>
      </w:pPr>
    </w:p>
    <w:p w14:paraId="732171C5">
      <w:pPr>
        <w:rPr>
          <w:color w:val="auto"/>
          <w:sz w:val="28"/>
          <w:szCs w:val="28"/>
          <w:highlight w:val="none"/>
          <w:u w:val="single"/>
        </w:rPr>
      </w:pPr>
    </w:p>
    <w:p w14:paraId="6A83FA1E">
      <w:pPr>
        <w:spacing w:line="480" w:lineRule="auto"/>
        <w:jc w:val="center"/>
        <w:rPr>
          <w:rFonts w:ascii="宋体" w:hAnsi="宋体" w:cs="Arial"/>
          <w:color w:val="auto"/>
          <w:szCs w:val="21"/>
          <w:highlight w:val="none"/>
        </w:rPr>
      </w:pPr>
      <w:r>
        <w:rPr>
          <w:rFonts w:hint="eastAsia" w:ascii="宋体" w:hAnsi="宋体" w:cs="Arial"/>
          <w:color w:val="auto"/>
          <w:szCs w:val="21"/>
          <w:highlight w:val="none"/>
        </w:rPr>
        <w:t xml:space="preserve">    供应商名称（盖章）：</w:t>
      </w:r>
    </w:p>
    <w:p w14:paraId="72960E1A">
      <w:pPr>
        <w:spacing w:line="480" w:lineRule="auto"/>
        <w:jc w:val="right"/>
        <w:rPr>
          <w:rFonts w:ascii="宋体" w:hAnsi="宋体" w:cs="Arial"/>
          <w:color w:val="auto"/>
          <w:szCs w:val="21"/>
          <w:highlight w:val="none"/>
        </w:rPr>
      </w:pPr>
      <w:r>
        <w:rPr>
          <w:rFonts w:hint="eastAsia" w:ascii="宋体" w:hAnsi="宋体" w:cs="Arial"/>
          <w:color w:val="auto"/>
          <w:szCs w:val="21"/>
          <w:highlight w:val="none"/>
        </w:rPr>
        <w:t>投标人法定代表人（或法定代表人授权代表）签字盖章：　　　　　　　　　</w:t>
      </w:r>
    </w:p>
    <w:p w14:paraId="1F8A5157">
      <w:pPr>
        <w:spacing w:line="480" w:lineRule="auto"/>
        <w:ind w:firstLine="4357" w:firstLineChars="2075"/>
        <w:rPr>
          <w:rFonts w:ascii="宋体" w:hAnsi="宋体" w:cs="Arial"/>
          <w:color w:val="auto"/>
          <w:szCs w:val="21"/>
          <w:highlight w:val="none"/>
        </w:rPr>
      </w:pPr>
      <w:r>
        <w:rPr>
          <w:rFonts w:hint="eastAsia" w:ascii="宋体" w:hAnsi="宋体" w:cs="Arial"/>
          <w:color w:val="auto"/>
          <w:szCs w:val="21"/>
          <w:highlight w:val="none"/>
        </w:rPr>
        <w:t>日　  期：      年    月    日</w:t>
      </w:r>
    </w:p>
    <w:p w14:paraId="284D5367">
      <w:pPr>
        <w:autoSpaceDE w:val="0"/>
        <w:autoSpaceDN w:val="0"/>
        <w:adjustRightInd w:val="0"/>
        <w:spacing w:line="360" w:lineRule="auto"/>
        <w:jc w:val="center"/>
        <w:rPr>
          <w:rFonts w:ascii="宋体"/>
          <w:color w:val="auto"/>
          <w:szCs w:val="21"/>
          <w:highlight w:val="none"/>
          <w:lang w:val="zh-CN"/>
        </w:rPr>
      </w:pPr>
    </w:p>
    <w:p w14:paraId="58BD02D6">
      <w:pPr>
        <w:autoSpaceDE w:val="0"/>
        <w:autoSpaceDN w:val="0"/>
        <w:adjustRightInd w:val="0"/>
        <w:spacing w:line="360" w:lineRule="auto"/>
        <w:ind w:right="-11"/>
        <w:rPr>
          <w:rFonts w:ascii="宋体"/>
          <w:color w:val="auto"/>
          <w:szCs w:val="21"/>
          <w:highlight w:val="none"/>
          <w:lang w:val="zh-CN"/>
        </w:rPr>
      </w:pPr>
    </w:p>
    <w:p w14:paraId="26BE46D3">
      <w:pPr>
        <w:autoSpaceDE w:val="0"/>
        <w:autoSpaceDN w:val="0"/>
        <w:adjustRightInd w:val="0"/>
        <w:spacing w:line="360" w:lineRule="auto"/>
        <w:jc w:val="center"/>
        <w:rPr>
          <w:rFonts w:ascii="宋体" w:hAnsi="宋体"/>
          <w:color w:val="auto"/>
          <w:sz w:val="24"/>
          <w:szCs w:val="24"/>
          <w:highlight w:val="none"/>
          <w:lang w:val="zh-CN"/>
        </w:rPr>
      </w:pPr>
    </w:p>
    <w:p w14:paraId="5AFF65FF">
      <w:pPr>
        <w:pStyle w:val="29"/>
        <w:ind w:firstLine="340"/>
        <w:rPr>
          <w:color w:val="auto"/>
          <w:highlight w:val="none"/>
          <w:lang w:val="zh-CN"/>
        </w:rPr>
      </w:pPr>
    </w:p>
    <w:p w14:paraId="5CAB7AF7">
      <w:pPr>
        <w:autoSpaceDE w:val="0"/>
        <w:autoSpaceDN w:val="0"/>
        <w:adjustRightInd w:val="0"/>
        <w:spacing w:line="360" w:lineRule="auto"/>
        <w:jc w:val="center"/>
        <w:rPr>
          <w:rFonts w:ascii="宋体" w:hAnsi="宋体"/>
          <w:color w:val="auto"/>
          <w:sz w:val="24"/>
          <w:szCs w:val="24"/>
          <w:highlight w:val="none"/>
          <w:lang w:val="zh-CN"/>
        </w:rPr>
      </w:pPr>
    </w:p>
    <w:p w14:paraId="491296A3">
      <w:pPr>
        <w:autoSpaceDE w:val="0"/>
        <w:autoSpaceDN w:val="0"/>
        <w:adjustRightInd w:val="0"/>
        <w:spacing w:line="360" w:lineRule="auto"/>
        <w:jc w:val="center"/>
        <w:rPr>
          <w:rFonts w:ascii="宋体" w:hAnsi="宋体"/>
          <w:color w:val="auto"/>
          <w:sz w:val="24"/>
          <w:szCs w:val="24"/>
          <w:highlight w:val="none"/>
          <w:lang w:val="zh-CN"/>
        </w:rPr>
      </w:pPr>
    </w:p>
    <w:p w14:paraId="2604E11B">
      <w:pPr>
        <w:autoSpaceDE w:val="0"/>
        <w:autoSpaceDN w:val="0"/>
        <w:adjustRightInd w:val="0"/>
        <w:spacing w:line="360" w:lineRule="auto"/>
        <w:jc w:val="center"/>
        <w:rPr>
          <w:rFonts w:ascii="宋体" w:hAnsi="宋体"/>
          <w:color w:val="auto"/>
          <w:sz w:val="24"/>
          <w:szCs w:val="24"/>
          <w:highlight w:val="none"/>
          <w:lang w:val="zh-CN"/>
        </w:rPr>
      </w:pPr>
    </w:p>
    <w:p w14:paraId="7C91DC4E">
      <w:pPr>
        <w:autoSpaceDE w:val="0"/>
        <w:autoSpaceDN w:val="0"/>
        <w:adjustRightInd w:val="0"/>
        <w:spacing w:line="360" w:lineRule="auto"/>
        <w:jc w:val="center"/>
        <w:rPr>
          <w:rFonts w:ascii="宋体" w:hAnsi="宋体"/>
          <w:color w:val="auto"/>
          <w:sz w:val="24"/>
          <w:szCs w:val="24"/>
          <w:highlight w:val="none"/>
          <w:lang w:val="zh-CN"/>
        </w:rPr>
      </w:pPr>
    </w:p>
    <w:p w14:paraId="5BDF7923">
      <w:pPr>
        <w:autoSpaceDE w:val="0"/>
        <w:autoSpaceDN w:val="0"/>
        <w:adjustRightInd w:val="0"/>
        <w:spacing w:line="360" w:lineRule="auto"/>
        <w:outlineLvl w:val="0"/>
        <w:rPr>
          <w:rFonts w:ascii="宋体"/>
          <w:color w:val="auto"/>
          <w:sz w:val="24"/>
          <w:highlight w:val="none"/>
          <w:lang w:val="zh-CN"/>
        </w:rPr>
      </w:pPr>
    </w:p>
    <w:p w14:paraId="071ECB6D">
      <w:pPr>
        <w:spacing w:line="360" w:lineRule="auto"/>
        <w:jc w:val="center"/>
        <w:rPr>
          <w:rFonts w:ascii="宋体"/>
          <w:color w:val="auto"/>
          <w:sz w:val="24"/>
          <w:highlight w:val="none"/>
          <w:lang w:val="zh-CN"/>
        </w:rPr>
      </w:pPr>
    </w:p>
    <w:p w14:paraId="26DD65B5">
      <w:pPr>
        <w:spacing w:line="360" w:lineRule="auto"/>
        <w:jc w:val="center"/>
        <w:rPr>
          <w:rFonts w:ascii="宋体" w:hAnsi="宋体"/>
          <w:b/>
          <w:bCs/>
          <w:color w:val="auto"/>
          <w:sz w:val="24"/>
          <w:szCs w:val="24"/>
          <w:highlight w:val="none"/>
        </w:rPr>
      </w:pPr>
      <w:r>
        <w:rPr>
          <w:rFonts w:hint="eastAsia" w:ascii="宋体" w:hAnsi="宋体"/>
          <w:b/>
          <w:bCs/>
          <w:color w:val="auto"/>
          <w:sz w:val="24"/>
          <w:szCs w:val="24"/>
          <w:highlight w:val="none"/>
        </w:rPr>
        <w:t>3.6 投标人提供与参加本项目投标的其他供应商之间，单位负责人不为同一人并且不存在直接控股、管理关系承诺函</w:t>
      </w:r>
    </w:p>
    <w:p w14:paraId="3B2EFD7C">
      <w:pPr>
        <w:spacing w:line="360" w:lineRule="auto"/>
        <w:jc w:val="center"/>
        <w:rPr>
          <w:rFonts w:ascii="宋体" w:hAnsi="宋体"/>
          <w:bCs/>
          <w:color w:val="auto"/>
          <w:sz w:val="24"/>
          <w:szCs w:val="24"/>
          <w:highlight w:val="none"/>
        </w:rPr>
      </w:pPr>
      <w:r>
        <w:rPr>
          <w:rFonts w:hint="eastAsia" w:ascii="宋体" w:hAnsi="宋体"/>
          <w:bCs/>
          <w:color w:val="auto"/>
          <w:sz w:val="24"/>
          <w:szCs w:val="24"/>
          <w:highlight w:val="none"/>
        </w:rPr>
        <w:t>（承诺函格式自拟）</w:t>
      </w:r>
    </w:p>
    <w:p w14:paraId="363A1583">
      <w:pPr>
        <w:autoSpaceDE w:val="0"/>
        <w:autoSpaceDN w:val="0"/>
        <w:adjustRightInd w:val="0"/>
        <w:spacing w:line="360" w:lineRule="auto"/>
        <w:outlineLvl w:val="0"/>
        <w:rPr>
          <w:rFonts w:ascii="宋体"/>
          <w:color w:val="auto"/>
          <w:sz w:val="24"/>
          <w:highlight w:val="none"/>
          <w:lang w:val="zh-CN"/>
        </w:rPr>
      </w:pPr>
    </w:p>
    <w:p w14:paraId="7A447A22">
      <w:pPr>
        <w:pStyle w:val="7"/>
        <w:rPr>
          <w:color w:val="auto"/>
          <w:highlight w:val="none"/>
          <w:lang w:val="zh-CN"/>
        </w:rPr>
      </w:pPr>
    </w:p>
    <w:p w14:paraId="069A9ED4">
      <w:pPr>
        <w:autoSpaceDE w:val="0"/>
        <w:autoSpaceDN w:val="0"/>
        <w:adjustRightInd w:val="0"/>
        <w:spacing w:line="360" w:lineRule="auto"/>
        <w:jc w:val="center"/>
        <w:outlineLvl w:val="0"/>
        <w:rPr>
          <w:rFonts w:ascii="宋体" w:hAnsi="宋体"/>
          <w:b/>
          <w:bCs/>
          <w:color w:val="auto"/>
          <w:sz w:val="24"/>
          <w:szCs w:val="24"/>
          <w:highlight w:val="none"/>
        </w:rPr>
      </w:pPr>
    </w:p>
    <w:p w14:paraId="2FC29204">
      <w:pPr>
        <w:spacing w:line="360" w:lineRule="auto"/>
        <w:jc w:val="center"/>
        <w:rPr>
          <w:rFonts w:ascii="宋体" w:hAnsi="宋体"/>
          <w:b/>
          <w:bCs/>
          <w:color w:val="auto"/>
          <w:sz w:val="24"/>
          <w:szCs w:val="24"/>
          <w:highlight w:val="none"/>
        </w:rPr>
      </w:pPr>
      <w:r>
        <w:rPr>
          <w:rFonts w:hint="eastAsia" w:ascii="宋体" w:hAnsi="宋体"/>
          <w:b/>
          <w:bCs/>
          <w:color w:val="auto"/>
          <w:sz w:val="24"/>
          <w:szCs w:val="24"/>
          <w:highlight w:val="none"/>
        </w:rPr>
        <w:t>3.7投标人提供未为本项目提供整体设计、规范编制或者项目管理、监理、检测等服务承诺函</w:t>
      </w:r>
    </w:p>
    <w:p w14:paraId="5FDA3BEB">
      <w:pPr>
        <w:spacing w:line="360" w:lineRule="auto"/>
        <w:jc w:val="center"/>
        <w:rPr>
          <w:rFonts w:ascii="宋体" w:hAnsi="宋体"/>
          <w:bCs/>
          <w:color w:val="auto"/>
          <w:sz w:val="24"/>
          <w:szCs w:val="24"/>
          <w:highlight w:val="none"/>
        </w:rPr>
      </w:pPr>
      <w:r>
        <w:rPr>
          <w:rFonts w:hint="eastAsia" w:ascii="宋体" w:hAnsi="宋体"/>
          <w:bCs/>
          <w:color w:val="auto"/>
          <w:sz w:val="24"/>
          <w:szCs w:val="24"/>
          <w:highlight w:val="none"/>
        </w:rPr>
        <w:t>（承诺函格式自拟）</w:t>
      </w:r>
    </w:p>
    <w:p w14:paraId="680F635E">
      <w:pPr>
        <w:rPr>
          <w:rFonts w:ascii="宋体" w:hAnsi="宋体"/>
          <w:b/>
          <w:bCs/>
          <w:color w:val="auto"/>
          <w:sz w:val="24"/>
          <w:szCs w:val="24"/>
          <w:highlight w:val="none"/>
        </w:rPr>
      </w:pPr>
    </w:p>
    <w:p w14:paraId="0D421506">
      <w:pPr>
        <w:pStyle w:val="3"/>
        <w:numPr>
          <w:ilvl w:val="0"/>
          <w:numId w:val="0"/>
        </w:numPr>
        <w:rPr>
          <w:color w:val="auto"/>
          <w:highlight w:val="none"/>
        </w:rPr>
      </w:pPr>
    </w:p>
    <w:p w14:paraId="4B9BCE9E">
      <w:pPr>
        <w:autoSpaceDE w:val="0"/>
        <w:autoSpaceDN w:val="0"/>
        <w:adjustRightInd w:val="0"/>
        <w:spacing w:line="360" w:lineRule="auto"/>
        <w:jc w:val="center"/>
        <w:outlineLvl w:val="0"/>
        <w:rPr>
          <w:rFonts w:ascii="宋体" w:hAnsi="宋体"/>
          <w:b/>
          <w:bCs/>
          <w:color w:val="auto"/>
          <w:sz w:val="24"/>
          <w:szCs w:val="24"/>
          <w:highlight w:val="none"/>
        </w:rPr>
      </w:pPr>
    </w:p>
    <w:p w14:paraId="6A832DAC">
      <w:pPr>
        <w:autoSpaceDE w:val="0"/>
        <w:autoSpaceDN w:val="0"/>
        <w:adjustRightInd w:val="0"/>
        <w:spacing w:line="360" w:lineRule="auto"/>
        <w:jc w:val="center"/>
        <w:outlineLvl w:val="0"/>
        <w:rPr>
          <w:rFonts w:ascii="宋体"/>
          <w:b/>
          <w:bCs/>
          <w:color w:val="auto"/>
          <w:sz w:val="24"/>
          <w:szCs w:val="24"/>
          <w:highlight w:val="none"/>
        </w:rPr>
      </w:pPr>
      <w:r>
        <w:rPr>
          <w:rFonts w:ascii="宋体" w:hAnsi="宋体"/>
          <w:b/>
          <w:bCs/>
          <w:color w:val="auto"/>
          <w:sz w:val="24"/>
          <w:szCs w:val="24"/>
          <w:highlight w:val="none"/>
        </w:rPr>
        <w:t>3.</w:t>
      </w:r>
      <w:r>
        <w:rPr>
          <w:rFonts w:hint="eastAsia" w:ascii="宋体" w:hAnsi="宋体"/>
          <w:b/>
          <w:bCs/>
          <w:color w:val="auto"/>
          <w:sz w:val="24"/>
          <w:szCs w:val="24"/>
          <w:highlight w:val="none"/>
        </w:rPr>
        <w:t>8 其他资格证书或材料</w:t>
      </w:r>
    </w:p>
    <w:p w14:paraId="3751C919">
      <w:pPr>
        <w:autoSpaceDE w:val="0"/>
        <w:autoSpaceDN w:val="0"/>
        <w:adjustRightInd w:val="0"/>
        <w:spacing w:line="360" w:lineRule="auto"/>
        <w:jc w:val="center"/>
        <w:rPr>
          <w:rFonts w:ascii="宋体" w:hAnsi="宋体" w:cs="黑体"/>
          <w:b/>
          <w:bCs/>
          <w:color w:val="auto"/>
          <w:sz w:val="44"/>
          <w:szCs w:val="44"/>
          <w:highlight w:val="none"/>
          <w:lang w:val="zh-CN"/>
        </w:rPr>
      </w:pPr>
    </w:p>
    <w:p w14:paraId="3083DC1B">
      <w:pPr>
        <w:autoSpaceDE w:val="0"/>
        <w:autoSpaceDN w:val="0"/>
        <w:adjustRightInd w:val="0"/>
        <w:spacing w:line="360" w:lineRule="auto"/>
        <w:jc w:val="center"/>
        <w:rPr>
          <w:rFonts w:ascii="宋体" w:hAnsi="宋体" w:cs="黑体"/>
          <w:b/>
          <w:bCs/>
          <w:color w:val="auto"/>
          <w:sz w:val="44"/>
          <w:szCs w:val="44"/>
          <w:highlight w:val="none"/>
          <w:lang w:val="zh-CN"/>
        </w:rPr>
      </w:pPr>
    </w:p>
    <w:p w14:paraId="4AEB0ABB">
      <w:pPr>
        <w:autoSpaceDE w:val="0"/>
        <w:autoSpaceDN w:val="0"/>
        <w:adjustRightInd w:val="0"/>
        <w:spacing w:line="360" w:lineRule="auto"/>
        <w:jc w:val="center"/>
        <w:rPr>
          <w:rFonts w:ascii="宋体" w:hAnsi="宋体" w:cs="黑体"/>
          <w:b/>
          <w:bCs/>
          <w:color w:val="auto"/>
          <w:sz w:val="44"/>
          <w:szCs w:val="44"/>
          <w:highlight w:val="none"/>
          <w:lang w:val="zh-CN"/>
        </w:rPr>
      </w:pPr>
    </w:p>
    <w:p w14:paraId="6C8900BF">
      <w:pPr>
        <w:autoSpaceDE w:val="0"/>
        <w:autoSpaceDN w:val="0"/>
        <w:adjustRightInd w:val="0"/>
        <w:spacing w:line="360" w:lineRule="auto"/>
        <w:jc w:val="center"/>
        <w:rPr>
          <w:rFonts w:ascii="宋体" w:hAnsi="宋体" w:cs="黑体"/>
          <w:b/>
          <w:bCs/>
          <w:color w:val="auto"/>
          <w:sz w:val="44"/>
          <w:szCs w:val="44"/>
          <w:highlight w:val="none"/>
          <w:lang w:val="zh-CN"/>
        </w:rPr>
      </w:pPr>
    </w:p>
    <w:p w14:paraId="1FC5B9AA">
      <w:pPr>
        <w:autoSpaceDE w:val="0"/>
        <w:autoSpaceDN w:val="0"/>
        <w:adjustRightInd w:val="0"/>
        <w:spacing w:line="360" w:lineRule="auto"/>
        <w:jc w:val="center"/>
        <w:rPr>
          <w:rFonts w:ascii="宋体" w:hAnsi="宋体" w:cs="黑体"/>
          <w:b/>
          <w:bCs/>
          <w:color w:val="auto"/>
          <w:sz w:val="28"/>
          <w:szCs w:val="28"/>
          <w:highlight w:val="none"/>
          <w:lang w:val="zh-CN"/>
        </w:rPr>
      </w:pPr>
    </w:p>
    <w:p w14:paraId="6A9E927C">
      <w:pPr>
        <w:autoSpaceDE w:val="0"/>
        <w:autoSpaceDN w:val="0"/>
        <w:adjustRightInd w:val="0"/>
        <w:spacing w:line="360" w:lineRule="auto"/>
        <w:jc w:val="center"/>
        <w:rPr>
          <w:rFonts w:ascii="宋体" w:hAnsi="宋体" w:cs="黑体"/>
          <w:b/>
          <w:bCs/>
          <w:color w:val="auto"/>
          <w:sz w:val="28"/>
          <w:szCs w:val="28"/>
          <w:highlight w:val="none"/>
          <w:lang w:val="zh-CN"/>
        </w:rPr>
      </w:pPr>
    </w:p>
    <w:p w14:paraId="035CFA15">
      <w:pPr>
        <w:pStyle w:val="29"/>
        <w:rPr>
          <w:lang w:val="zh-CN"/>
        </w:rPr>
      </w:pPr>
    </w:p>
    <w:p w14:paraId="2F26695F">
      <w:pPr>
        <w:autoSpaceDE w:val="0"/>
        <w:autoSpaceDN w:val="0"/>
        <w:adjustRightInd w:val="0"/>
        <w:spacing w:line="360" w:lineRule="auto"/>
        <w:jc w:val="center"/>
        <w:rPr>
          <w:rFonts w:ascii="宋体" w:hAnsi="宋体" w:cs="黑体"/>
          <w:b/>
          <w:bCs/>
          <w:color w:val="auto"/>
          <w:sz w:val="28"/>
          <w:szCs w:val="28"/>
          <w:highlight w:val="none"/>
          <w:lang w:val="zh-CN"/>
        </w:rPr>
      </w:pPr>
    </w:p>
    <w:p w14:paraId="59E99B1A">
      <w:pPr>
        <w:autoSpaceDE w:val="0"/>
        <w:autoSpaceDN w:val="0"/>
        <w:adjustRightInd w:val="0"/>
        <w:spacing w:line="360" w:lineRule="auto"/>
        <w:jc w:val="center"/>
        <w:rPr>
          <w:rFonts w:ascii="宋体" w:hAnsi="宋体" w:cs="黑体"/>
          <w:b/>
          <w:bCs/>
          <w:color w:val="auto"/>
          <w:sz w:val="28"/>
          <w:szCs w:val="28"/>
          <w:highlight w:val="none"/>
          <w:lang w:val="zh-CN"/>
        </w:rPr>
      </w:pPr>
    </w:p>
    <w:p w14:paraId="5F7E8EBC">
      <w:pPr>
        <w:autoSpaceDE w:val="0"/>
        <w:autoSpaceDN w:val="0"/>
        <w:adjustRightInd w:val="0"/>
        <w:spacing w:line="360" w:lineRule="auto"/>
        <w:jc w:val="center"/>
        <w:rPr>
          <w:rFonts w:ascii="宋体" w:hAnsi="宋体" w:cs="黑体"/>
          <w:b/>
          <w:bCs/>
          <w:color w:val="auto"/>
          <w:sz w:val="28"/>
          <w:szCs w:val="28"/>
          <w:highlight w:val="none"/>
          <w:lang w:val="zh-CN"/>
        </w:rPr>
      </w:pPr>
    </w:p>
    <w:p w14:paraId="4962E630">
      <w:pPr>
        <w:autoSpaceDE w:val="0"/>
        <w:autoSpaceDN w:val="0"/>
        <w:adjustRightInd w:val="0"/>
        <w:spacing w:line="360" w:lineRule="auto"/>
        <w:jc w:val="center"/>
        <w:rPr>
          <w:rFonts w:ascii="宋体" w:hAnsi="宋体" w:cs="黑体"/>
          <w:b/>
          <w:bCs/>
          <w:color w:val="auto"/>
          <w:sz w:val="28"/>
          <w:szCs w:val="28"/>
          <w:highlight w:val="none"/>
          <w:lang w:val="zh-CN"/>
        </w:rPr>
      </w:pPr>
      <w:r>
        <w:rPr>
          <w:rFonts w:hint="eastAsia" w:ascii="宋体" w:hAnsi="宋体" w:cs="黑体"/>
          <w:b/>
          <w:bCs/>
          <w:color w:val="auto"/>
          <w:sz w:val="28"/>
          <w:szCs w:val="28"/>
          <w:highlight w:val="none"/>
          <w:lang w:val="zh-CN"/>
        </w:rPr>
        <w:t>四、符合性审查证明材料</w:t>
      </w:r>
    </w:p>
    <w:p w14:paraId="312776BF">
      <w:pPr>
        <w:autoSpaceDE w:val="0"/>
        <w:autoSpaceDN w:val="0"/>
        <w:adjustRightInd w:val="0"/>
        <w:spacing w:line="360" w:lineRule="auto"/>
        <w:jc w:val="center"/>
        <w:outlineLvl w:val="0"/>
        <w:rPr>
          <w:rFonts w:hint="eastAsia" w:ascii="宋体" w:hAnsi="宋体"/>
          <w:b/>
          <w:bCs/>
          <w:color w:val="000000"/>
          <w:sz w:val="24"/>
          <w:szCs w:val="24"/>
        </w:rPr>
      </w:pPr>
      <w:bookmarkStart w:id="26" w:name="_Toc20414"/>
    </w:p>
    <w:p w14:paraId="72B9152D">
      <w:pPr>
        <w:autoSpaceDE w:val="0"/>
        <w:autoSpaceDN w:val="0"/>
        <w:adjustRightInd w:val="0"/>
        <w:spacing w:line="360" w:lineRule="auto"/>
        <w:jc w:val="center"/>
        <w:outlineLvl w:val="0"/>
        <w:rPr>
          <w:rFonts w:hint="eastAsia" w:ascii="宋体" w:hAnsi="宋体"/>
          <w:b/>
          <w:bCs/>
          <w:color w:val="000000"/>
          <w:sz w:val="24"/>
          <w:szCs w:val="24"/>
        </w:rPr>
      </w:pPr>
    </w:p>
    <w:p w14:paraId="01173430">
      <w:pPr>
        <w:autoSpaceDE w:val="0"/>
        <w:autoSpaceDN w:val="0"/>
        <w:adjustRightInd w:val="0"/>
        <w:spacing w:line="360" w:lineRule="auto"/>
        <w:jc w:val="center"/>
        <w:outlineLvl w:val="0"/>
        <w:rPr>
          <w:rFonts w:hint="eastAsia" w:ascii="宋体" w:hAnsi="宋体" w:eastAsia="宋体"/>
          <w:b/>
          <w:bCs/>
          <w:color w:val="000000"/>
          <w:sz w:val="24"/>
          <w:szCs w:val="24"/>
          <w:lang w:eastAsia="zh-CN"/>
        </w:rPr>
      </w:pPr>
      <w:r>
        <w:rPr>
          <w:rFonts w:hint="eastAsia" w:ascii="宋体" w:hAnsi="宋体"/>
          <w:b/>
          <w:bCs/>
          <w:color w:val="000000"/>
          <w:sz w:val="24"/>
          <w:szCs w:val="24"/>
        </w:rPr>
        <w:t>4.1分项报价表</w:t>
      </w:r>
      <w:bookmarkEnd w:id="26"/>
      <w:r>
        <w:rPr>
          <w:rFonts w:hint="eastAsia" w:ascii="宋体" w:hAnsi="宋体"/>
          <w:b/>
          <w:bCs/>
          <w:color w:val="000000"/>
          <w:sz w:val="24"/>
          <w:szCs w:val="24"/>
          <w:lang w:val="en-US" w:eastAsia="zh-CN"/>
        </w:rPr>
        <w:t xml:space="preserve"> </w:t>
      </w:r>
    </w:p>
    <w:p w14:paraId="3BD3EAF3">
      <w:pPr>
        <w:spacing w:before="50" w:after="156" w:afterLines="50" w:line="360" w:lineRule="auto"/>
        <w:contextualSpacing/>
        <w:jc w:val="left"/>
        <w:rPr>
          <w:rFonts w:ascii="宋体" w:hAnsi="宋体"/>
          <w:color w:val="000000"/>
          <w:szCs w:val="21"/>
        </w:rPr>
      </w:pPr>
      <w:r>
        <w:rPr>
          <w:rFonts w:hint="eastAsia" w:ascii="宋体" w:hAnsi="宋体"/>
          <w:color w:val="000000"/>
          <w:szCs w:val="21"/>
        </w:rPr>
        <w:t>项目编号：</w:t>
      </w:r>
    </w:p>
    <w:p w14:paraId="3DB6BFE5">
      <w:pPr>
        <w:autoSpaceDE w:val="0"/>
        <w:autoSpaceDN w:val="0"/>
        <w:adjustRightInd w:val="0"/>
        <w:spacing w:line="360" w:lineRule="auto"/>
        <w:outlineLvl w:val="0"/>
        <w:rPr>
          <w:rFonts w:hAnsi="宋体"/>
          <w:b/>
          <w:snapToGrid w:val="0"/>
          <w:kern w:val="0"/>
          <w:szCs w:val="21"/>
        </w:rPr>
      </w:pPr>
      <w:bookmarkStart w:id="27" w:name="_Toc28330"/>
      <w:r>
        <w:rPr>
          <w:rFonts w:hint="eastAsia" w:ascii="宋体" w:hAnsi="宋体"/>
          <w:color w:val="000000"/>
          <w:szCs w:val="21"/>
        </w:rPr>
        <w:t>项目名称：</w:t>
      </w:r>
      <w:bookmarkEnd w:id="27"/>
      <w:r>
        <w:rPr>
          <w:rFonts w:hint="eastAsia" w:ascii="宋体" w:hAnsi="宋体"/>
          <w:color w:val="000000"/>
          <w:szCs w:val="21"/>
        </w:rPr>
        <w:t xml:space="preserve">   </w:t>
      </w:r>
    </w:p>
    <w:tbl>
      <w:tblPr>
        <w:tblStyle w:val="31"/>
        <w:tblW w:w="9400" w:type="dxa"/>
        <w:tblInd w:w="0" w:type="dxa"/>
        <w:tblLayout w:type="fixed"/>
        <w:tblCellMar>
          <w:top w:w="0" w:type="dxa"/>
          <w:left w:w="108" w:type="dxa"/>
          <w:bottom w:w="0" w:type="dxa"/>
          <w:right w:w="108" w:type="dxa"/>
        </w:tblCellMar>
      </w:tblPr>
      <w:tblGrid>
        <w:gridCol w:w="534"/>
        <w:gridCol w:w="1134"/>
        <w:gridCol w:w="1500"/>
        <w:gridCol w:w="1260"/>
        <w:gridCol w:w="642"/>
        <w:gridCol w:w="992"/>
        <w:gridCol w:w="1066"/>
        <w:gridCol w:w="1080"/>
        <w:gridCol w:w="1192"/>
      </w:tblGrid>
      <w:tr w14:paraId="6EA61D97">
        <w:tblPrEx>
          <w:tblCellMar>
            <w:top w:w="0" w:type="dxa"/>
            <w:left w:w="108" w:type="dxa"/>
            <w:bottom w:w="0" w:type="dxa"/>
            <w:right w:w="108" w:type="dxa"/>
          </w:tblCellMar>
        </w:tblPrEx>
        <w:trPr>
          <w:trHeight w:val="851" w:hRule="atLeast"/>
        </w:trPr>
        <w:tc>
          <w:tcPr>
            <w:tcW w:w="534" w:type="dxa"/>
            <w:tcBorders>
              <w:top w:val="single" w:color="auto" w:sz="6" w:space="0"/>
              <w:left w:val="single" w:color="auto" w:sz="6" w:space="0"/>
              <w:bottom w:val="single" w:color="auto" w:sz="6" w:space="0"/>
              <w:right w:val="single" w:color="auto" w:sz="6" w:space="0"/>
            </w:tcBorders>
            <w:shd w:val="clear" w:color="auto" w:fill="F2F2F2"/>
            <w:vAlign w:val="center"/>
          </w:tcPr>
          <w:p w14:paraId="23D34A22">
            <w:pPr>
              <w:autoSpaceDE w:val="0"/>
              <w:autoSpaceDN w:val="0"/>
              <w:adjustRightInd w:val="0"/>
              <w:spacing w:line="280" w:lineRule="exact"/>
              <w:jc w:val="center"/>
              <w:rPr>
                <w:rFonts w:ascii="宋体" w:hAnsi="宋体"/>
                <w:b/>
                <w:szCs w:val="21"/>
                <w:lang w:val="zh-CN"/>
              </w:rPr>
            </w:pPr>
            <w:r>
              <w:rPr>
                <w:rFonts w:hint="eastAsia" w:ascii="宋体" w:hAnsi="宋体"/>
                <w:b/>
                <w:szCs w:val="21"/>
                <w:lang w:val="zh-CN"/>
              </w:rPr>
              <w:t>序号</w:t>
            </w:r>
          </w:p>
        </w:tc>
        <w:tc>
          <w:tcPr>
            <w:tcW w:w="1134" w:type="dxa"/>
            <w:tcBorders>
              <w:top w:val="single" w:color="auto" w:sz="6" w:space="0"/>
              <w:left w:val="single" w:color="auto" w:sz="6" w:space="0"/>
              <w:bottom w:val="single" w:color="auto" w:sz="6" w:space="0"/>
              <w:right w:val="single" w:color="auto" w:sz="6" w:space="0"/>
            </w:tcBorders>
            <w:shd w:val="clear" w:color="auto" w:fill="F2F2F2"/>
            <w:vAlign w:val="center"/>
          </w:tcPr>
          <w:p w14:paraId="32D120EF">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名称</w:t>
            </w:r>
          </w:p>
        </w:tc>
        <w:tc>
          <w:tcPr>
            <w:tcW w:w="1500" w:type="dxa"/>
            <w:tcBorders>
              <w:top w:val="single" w:color="auto" w:sz="6" w:space="0"/>
              <w:left w:val="single" w:color="auto" w:sz="6" w:space="0"/>
              <w:bottom w:val="single" w:color="auto" w:sz="6" w:space="0"/>
              <w:right w:val="single" w:color="auto" w:sz="6" w:space="0"/>
            </w:tcBorders>
            <w:shd w:val="clear" w:color="auto" w:fill="F2F2F2"/>
            <w:vAlign w:val="center"/>
          </w:tcPr>
          <w:p w14:paraId="28524C08">
            <w:pPr>
              <w:autoSpaceDE w:val="0"/>
              <w:autoSpaceDN w:val="0"/>
              <w:adjustRightInd w:val="0"/>
              <w:spacing w:line="360" w:lineRule="auto"/>
              <w:ind w:firstLine="120"/>
              <w:jc w:val="center"/>
              <w:rPr>
                <w:rFonts w:ascii="宋体" w:hAnsi="宋体"/>
                <w:b/>
                <w:szCs w:val="21"/>
                <w:lang w:val="zh-CN"/>
              </w:rPr>
            </w:pPr>
            <w:r>
              <w:rPr>
                <w:rFonts w:hint="eastAsia" w:ascii="宋体" w:hAnsi="宋体"/>
                <w:b/>
                <w:szCs w:val="21"/>
                <w:lang w:val="zh-CN"/>
              </w:rPr>
              <w:t>品牌、规格</w:t>
            </w:r>
            <w:r>
              <w:rPr>
                <w:rFonts w:hint="eastAsia" w:ascii="宋体" w:hAnsi="宋体"/>
                <w:b/>
                <w:szCs w:val="21"/>
              </w:rPr>
              <w:t xml:space="preserve"> </w:t>
            </w:r>
            <w:r>
              <w:rPr>
                <w:rFonts w:hint="eastAsia" w:ascii="宋体" w:hAnsi="宋体"/>
                <w:b/>
                <w:szCs w:val="21"/>
                <w:lang w:val="zh-CN"/>
              </w:rPr>
              <w:t>型号</w:t>
            </w:r>
          </w:p>
        </w:tc>
        <w:tc>
          <w:tcPr>
            <w:tcW w:w="1260" w:type="dxa"/>
            <w:tcBorders>
              <w:top w:val="single" w:color="auto" w:sz="6" w:space="0"/>
              <w:left w:val="single" w:color="auto" w:sz="6" w:space="0"/>
              <w:bottom w:val="single" w:color="auto" w:sz="6" w:space="0"/>
              <w:right w:val="single" w:color="auto" w:sz="6" w:space="0"/>
            </w:tcBorders>
            <w:shd w:val="clear" w:color="auto" w:fill="F2F2F2"/>
            <w:vAlign w:val="center"/>
          </w:tcPr>
          <w:p w14:paraId="09BA0CFD">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技术</w:t>
            </w:r>
          </w:p>
          <w:p w14:paraId="1F909B7D">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参数</w:t>
            </w:r>
          </w:p>
        </w:tc>
        <w:tc>
          <w:tcPr>
            <w:tcW w:w="642" w:type="dxa"/>
            <w:tcBorders>
              <w:top w:val="single" w:color="auto" w:sz="6" w:space="0"/>
              <w:left w:val="single" w:color="auto" w:sz="6" w:space="0"/>
              <w:bottom w:val="single" w:color="auto" w:sz="6" w:space="0"/>
              <w:right w:val="single" w:color="auto" w:sz="6" w:space="0"/>
            </w:tcBorders>
            <w:shd w:val="clear" w:color="auto" w:fill="F2F2F2"/>
            <w:vAlign w:val="center"/>
          </w:tcPr>
          <w:p w14:paraId="79529B7F">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单位</w:t>
            </w:r>
          </w:p>
        </w:tc>
        <w:tc>
          <w:tcPr>
            <w:tcW w:w="992" w:type="dxa"/>
            <w:tcBorders>
              <w:top w:val="single" w:color="auto" w:sz="6" w:space="0"/>
              <w:left w:val="single" w:color="auto" w:sz="6" w:space="0"/>
              <w:bottom w:val="single" w:color="auto" w:sz="6" w:space="0"/>
              <w:right w:val="single" w:color="auto" w:sz="6" w:space="0"/>
            </w:tcBorders>
            <w:shd w:val="clear" w:color="auto" w:fill="F2F2F2"/>
            <w:vAlign w:val="center"/>
          </w:tcPr>
          <w:p w14:paraId="66DEBD10">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数量</w:t>
            </w:r>
          </w:p>
        </w:tc>
        <w:tc>
          <w:tcPr>
            <w:tcW w:w="1066" w:type="dxa"/>
            <w:tcBorders>
              <w:top w:val="single" w:color="auto" w:sz="6" w:space="0"/>
              <w:left w:val="single" w:color="auto" w:sz="6" w:space="0"/>
              <w:bottom w:val="single" w:color="auto" w:sz="6" w:space="0"/>
              <w:right w:val="single" w:color="auto" w:sz="6" w:space="0"/>
            </w:tcBorders>
            <w:shd w:val="clear" w:color="auto" w:fill="F2F2F2"/>
            <w:vAlign w:val="center"/>
          </w:tcPr>
          <w:p w14:paraId="403734C8">
            <w:pPr>
              <w:autoSpaceDE w:val="0"/>
              <w:autoSpaceDN w:val="0"/>
              <w:adjustRightInd w:val="0"/>
              <w:spacing w:line="360" w:lineRule="auto"/>
              <w:jc w:val="center"/>
              <w:rPr>
                <w:rFonts w:ascii="宋体" w:hAnsi="宋体"/>
                <w:b/>
                <w:szCs w:val="21"/>
                <w:lang w:val="zh-CN"/>
              </w:rPr>
            </w:pPr>
            <w:r>
              <w:rPr>
                <w:rFonts w:hint="eastAsia" w:ascii="宋体" w:hAnsi="宋体"/>
                <w:b/>
                <w:szCs w:val="21"/>
                <w:lang w:val="zh-CN"/>
              </w:rPr>
              <w:t>单价</w:t>
            </w:r>
          </w:p>
        </w:tc>
        <w:tc>
          <w:tcPr>
            <w:tcW w:w="1080" w:type="dxa"/>
            <w:tcBorders>
              <w:top w:val="single" w:color="auto" w:sz="6" w:space="0"/>
              <w:left w:val="single" w:color="auto" w:sz="6" w:space="0"/>
              <w:bottom w:val="single" w:color="auto" w:sz="6" w:space="0"/>
              <w:right w:val="single" w:color="auto" w:sz="6" w:space="0"/>
            </w:tcBorders>
            <w:shd w:val="clear" w:color="auto" w:fill="F2F2F2"/>
            <w:vAlign w:val="center"/>
          </w:tcPr>
          <w:p w14:paraId="51FA0F2D">
            <w:pPr>
              <w:autoSpaceDE w:val="0"/>
              <w:autoSpaceDN w:val="0"/>
              <w:adjustRightInd w:val="0"/>
              <w:spacing w:line="360" w:lineRule="auto"/>
              <w:ind w:firstLine="120"/>
              <w:rPr>
                <w:rFonts w:ascii="宋体" w:hAnsi="宋体"/>
                <w:b/>
                <w:szCs w:val="21"/>
                <w:lang w:val="zh-CN"/>
              </w:rPr>
            </w:pPr>
            <w:r>
              <w:rPr>
                <w:rFonts w:hint="eastAsia" w:ascii="宋体" w:hAnsi="宋体"/>
                <w:b/>
                <w:szCs w:val="21"/>
                <w:lang w:val="zh-CN"/>
              </w:rPr>
              <w:t>总价</w:t>
            </w:r>
          </w:p>
        </w:tc>
        <w:tc>
          <w:tcPr>
            <w:tcW w:w="1192" w:type="dxa"/>
            <w:tcBorders>
              <w:top w:val="single" w:color="auto" w:sz="6" w:space="0"/>
              <w:left w:val="single" w:color="auto" w:sz="6" w:space="0"/>
              <w:bottom w:val="single" w:color="auto" w:sz="6" w:space="0"/>
              <w:right w:val="single" w:color="auto" w:sz="6" w:space="0"/>
            </w:tcBorders>
            <w:shd w:val="clear" w:color="auto" w:fill="F2F2F2"/>
            <w:vAlign w:val="center"/>
          </w:tcPr>
          <w:p w14:paraId="5B1AB6D1">
            <w:pPr>
              <w:autoSpaceDE w:val="0"/>
              <w:autoSpaceDN w:val="0"/>
              <w:adjustRightInd w:val="0"/>
              <w:spacing w:line="360" w:lineRule="auto"/>
              <w:ind w:left="120" w:hanging="120"/>
              <w:jc w:val="center"/>
              <w:rPr>
                <w:rFonts w:ascii="宋体" w:hAnsi="宋体"/>
                <w:b/>
                <w:szCs w:val="21"/>
                <w:lang w:val="zh-CN"/>
              </w:rPr>
            </w:pPr>
            <w:r>
              <w:rPr>
                <w:rFonts w:hint="eastAsia" w:ascii="宋体" w:hAnsi="宋体"/>
                <w:b/>
                <w:szCs w:val="21"/>
                <w:lang w:val="zh-CN"/>
              </w:rPr>
              <w:t>产地及</w:t>
            </w:r>
          </w:p>
          <w:p w14:paraId="7D05FB80">
            <w:pPr>
              <w:autoSpaceDE w:val="0"/>
              <w:autoSpaceDN w:val="0"/>
              <w:adjustRightInd w:val="0"/>
              <w:spacing w:line="360" w:lineRule="auto"/>
              <w:ind w:left="120" w:hanging="120"/>
              <w:jc w:val="center"/>
              <w:rPr>
                <w:rFonts w:ascii="宋体" w:hAnsi="宋体"/>
                <w:b/>
                <w:szCs w:val="21"/>
                <w:lang w:val="zh-CN"/>
              </w:rPr>
            </w:pPr>
            <w:r>
              <w:rPr>
                <w:rFonts w:hint="eastAsia" w:ascii="宋体" w:hAnsi="宋体"/>
                <w:b/>
                <w:szCs w:val="21"/>
                <w:lang w:val="zh-CN"/>
              </w:rPr>
              <w:t>厂家</w:t>
            </w:r>
          </w:p>
        </w:tc>
      </w:tr>
      <w:tr w14:paraId="381F2830">
        <w:tblPrEx>
          <w:tblCellMar>
            <w:top w:w="0" w:type="dxa"/>
            <w:left w:w="108" w:type="dxa"/>
            <w:bottom w:w="0" w:type="dxa"/>
            <w:right w:w="108" w:type="dxa"/>
          </w:tblCellMar>
        </w:tblPrEx>
        <w:trPr>
          <w:trHeight w:val="851" w:hRule="atLeast"/>
        </w:trPr>
        <w:tc>
          <w:tcPr>
            <w:tcW w:w="534" w:type="dxa"/>
            <w:tcBorders>
              <w:top w:val="single" w:color="auto" w:sz="6" w:space="0"/>
              <w:left w:val="single" w:color="auto" w:sz="6" w:space="0"/>
              <w:bottom w:val="single" w:color="auto" w:sz="6" w:space="0"/>
              <w:right w:val="single" w:color="auto" w:sz="6" w:space="0"/>
            </w:tcBorders>
            <w:vAlign w:val="center"/>
          </w:tcPr>
          <w:p w14:paraId="09469382">
            <w:pPr>
              <w:autoSpaceDE w:val="0"/>
              <w:autoSpaceDN w:val="0"/>
              <w:adjustRightInd w:val="0"/>
              <w:spacing w:line="480" w:lineRule="exact"/>
              <w:jc w:val="center"/>
              <w:rPr>
                <w:rFonts w:ascii="宋体" w:hAnsi="宋体"/>
                <w:szCs w:val="21"/>
              </w:rPr>
            </w:pPr>
            <w:r>
              <w:rPr>
                <w:rFonts w:hint="eastAsia" w:ascii="宋体" w:hAnsi="宋体"/>
                <w:szCs w:val="21"/>
              </w:rPr>
              <w:t>1</w:t>
            </w:r>
          </w:p>
        </w:tc>
        <w:tc>
          <w:tcPr>
            <w:tcW w:w="1134" w:type="dxa"/>
            <w:tcBorders>
              <w:top w:val="single" w:color="auto" w:sz="6" w:space="0"/>
              <w:left w:val="single" w:color="auto" w:sz="6" w:space="0"/>
              <w:bottom w:val="single" w:color="auto" w:sz="6" w:space="0"/>
              <w:right w:val="single" w:color="auto" w:sz="6" w:space="0"/>
            </w:tcBorders>
          </w:tcPr>
          <w:p w14:paraId="00D193A8">
            <w:pPr>
              <w:autoSpaceDE w:val="0"/>
              <w:autoSpaceDN w:val="0"/>
              <w:adjustRightInd w:val="0"/>
              <w:spacing w:line="360" w:lineRule="auto"/>
              <w:rPr>
                <w:rFonts w:ascii="宋体" w:hAnsi="宋体"/>
                <w:szCs w:val="21"/>
              </w:rPr>
            </w:pPr>
          </w:p>
        </w:tc>
        <w:tc>
          <w:tcPr>
            <w:tcW w:w="1500" w:type="dxa"/>
            <w:tcBorders>
              <w:top w:val="single" w:color="auto" w:sz="6" w:space="0"/>
              <w:left w:val="single" w:color="auto" w:sz="6" w:space="0"/>
              <w:bottom w:val="single" w:color="auto" w:sz="6" w:space="0"/>
              <w:right w:val="single" w:color="auto" w:sz="6" w:space="0"/>
            </w:tcBorders>
          </w:tcPr>
          <w:p w14:paraId="7CFA5442">
            <w:pPr>
              <w:autoSpaceDE w:val="0"/>
              <w:autoSpaceDN w:val="0"/>
              <w:adjustRightInd w:val="0"/>
              <w:spacing w:line="360" w:lineRule="auto"/>
              <w:rPr>
                <w:rFonts w:ascii="宋体" w:hAnsi="宋体"/>
                <w:szCs w:val="21"/>
              </w:rPr>
            </w:pPr>
          </w:p>
        </w:tc>
        <w:tc>
          <w:tcPr>
            <w:tcW w:w="1260" w:type="dxa"/>
            <w:tcBorders>
              <w:top w:val="single" w:color="auto" w:sz="6" w:space="0"/>
              <w:left w:val="single" w:color="auto" w:sz="6" w:space="0"/>
              <w:bottom w:val="single" w:color="auto" w:sz="6" w:space="0"/>
              <w:right w:val="single" w:color="auto" w:sz="6" w:space="0"/>
            </w:tcBorders>
          </w:tcPr>
          <w:p w14:paraId="481512A4">
            <w:pPr>
              <w:autoSpaceDE w:val="0"/>
              <w:autoSpaceDN w:val="0"/>
              <w:adjustRightInd w:val="0"/>
              <w:spacing w:line="360" w:lineRule="auto"/>
              <w:rPr>
                <w:rFonts w:ascii="宋体" w:hAnsi="宋体"/>
                <w:szCs w:val="21"/>
              </w:rPr>
            </w:pPr>
          </w:p>
        </w:tc>
        <w:tc>
          <w:tcPr>
            <w:tcW w:w="642" w:type="dxa"/>
            <w:tcBorders>
              <w:top w:val="single" w:color="auto" w:sz="6" w:space="0"/>
              <w:left w:val="single" w:color="auto" w:sz="6" w:space="0"/>
              <w:bottom w:val="single" w:color="auto" w:sz="6" w:space="0"/>
              <w:right w:val="single" w:color="auto" w:sz="6" w:space="0"/>
            </w:tcBorders>
          </w:tcPr>
          <w:p w14:paraId="0A57DB30">
            <w:pPr>
              <w:autoSpaceDE w:val="0"/>
              <w:autoSpaceDN w:val="0"/>
              <w:adjustRightInd w:val="0"/>
              <w:spacing w:line="360" w:lineRule="auto"/>
              <w:rPr>
                <w:rFonts w:ascii="宋体" w:hAnsi="宋体"/>
                <w:szCs w:val="21"/>
              </w:rPr>
            </w:pPr>
          </w:p>
        </w:tc>
        <w:tc>
          <w:tcPr>
            <w:tcW w:w="992" w:type="dxa"/>
            <w:tcBorders>
              <w:top w:val="single" w:color="auto" w:sz="6" w:space="0"/>
              <w:left w:val="single" w:color="auto" w:sz="6" w:space="0"/>
              <w:bottom w:val="single" w:color="auto" w:sz="6" w:space="0"/>
              <w:right w:val="single" w:color="auto" w:sz="6" w:space="0"/>
            </w:tcBorders>
          </w:tcPr>
          <w:p w14:paraId="71C0B00E">
            <w:pPr>
              <w:autoSpaceDE w:val="0"/>
              <w:autoSpaceDN w:val="0"/>
              <w:adjustRightInd w:val="0"/>
              <w:spacing w:line="360" w:lineRule="auto"/>
              <w:rPr>
                <w:rFonts w:ascii="宋体" w:hAnsi="宋体"/>
                <w:szCs w:val="21"/>
              </w:rPr>
            </w:pPr>
          </w:p>
        </w:tc>
        <w:tc>
          <w:tcPr>
            <w:tcW w:w="1066" w:type="dxa"/>
            <w:tcBorders>
              <w:top w:val="single" w:color="auto" w:sz="6" w:space="0"/>
              <w:left w:val="single" w:color="auto" w:sz="6" w:space="0"/>
              <w:bottom w:val="single" w:color="auto" w:sz="6" w:space="0"/>
              <w:right w:val="single" w:color="auto" w:sz="6" w:space="0"/>
            </w:tcBorders>
          </w:tcPr>
          <w:p w14:paraId="0734D2AA">
            <w:pPr>
              <w:autoSpaceDE w:val="0"/>
              <w:autoSpaceDN w:val="0"/>
              <w:adjustRightInd w:val="0"/>
              <w:spacing w:line="360" w:lineRule="auto"/>
              <w:rPr>
                <w:rFonts w:ascii="宋体" w:hAnsi="宋体"/>
                <w:szCs w:val="21"/>
              </w:rPr>
            </w:pPr>
          </w:p>
        </w:tc>
        <w:tc>
          <w:tcPr>
            <w:tcW w:w="1080" w:type="dxa"/>
            <w:tcBorders>
              <w:top w:val="single" w:color="auto" w:sz="6" w:space="0"/>
              <w:left w:val="single" w:color="auto" w:sz="6" w:space="0"/>
              <w:bottom w:val="single" w:color="auto" w:sz="6" w:space="0"/>
              <w:right w:val="single" w:color="auto" w:sz="6" w:space="0"/>
            </w:tcBorders>
          </w:tcPr>
          <w:p w14:paraId="112D21EE">
            <w:pPr>
              <w:autoSpaceDE w:val="0"/>
              <w:autoSpaceDN w:val="0"/>
              <w:adjustRightInd w:val="0"/>
              <w:spacing w:line="360" w:lineRule="auto"/>
              <w:rPr>
                <w:rFonts w:ascii="宋体" w:hAnsi="宋体"/>
                <w:szCs w:val="21"/>
              </w:rPr>
            </w:pPr>
          </w:p>
        </w:tc>
        <w:tc>
          <w:tcPr>
            <w:tcW w:w="1192" w:type="dxa"/>
            <w:tcBorders>
              <w:top w:val="single" w:color="auto" w:sz="6" w:space="0"/>
              <w:left w:val="single" w:color="auto" w:sz="6" w:space="0"/>
              <w:bottom w:val="single" w:color="auto" w:sz="6" w:space="0"/>
              <w:right w:val="single" w:color="auto" w:sz="6" w:space="0"/>
            </w:tcBorders>
          </w:tcPr>
          <w:p w14:paraId="7453130B">
            <w:pPr>
              <w:autoSpaceDE w:val="0"/>
              <w:autoSpaceDN w:val="0"/>
              <w:adjustRightInd w:val="0"/>
              <w:spacing w:line="360" w:lineRule="auto"/>
              <w:rPr>
                <w:rFonts w:ascii="宋体" w:hAnsi="宋体"/>
                <w:szCs w:val="21"/>
              </w:rPr>
            </w:pPr>
          </w:p>
        </w:tc>
      </w:tr>
      <w:tr w14:paraId="250C58BA">
        <w:tblPrEx>
          <w:tblCellMar>
            <w:top w:w="0" w:type="dxa"/>
            <w:left w:w="108" w:type="dxa"/>
            <w:bottom w:w="0" w:type="dxa"/>
            <w:right w:w="108" w:type="dxa"/>
          </w:tblCellMar>
        </w:tblPrEx>
        <w:trPr>
          <w:trHeight w:val="851" w:hRule="atLeast"/>
        </w:trPr>
        <w:tc>
          <w:tcPr>
            <w:tcW w:w="534" w:type="dxa"/>
            <w:tcBorders>
              <w:top w:val="single" w:color="auto" w:sz="6" w:space="0"/>
              <w:left w:val="single" w:color="auto" w:sz="6" w:space="0"/>
              <w:bottom w:val="single" w:color="auto" w:sz="6" w:space="0"/>
              <w:right w:val="single" w:color="auto" w:sz="6" w:space="0"/>
            </w:tcBorders>
            <w:vAlign w:val="center"/>
          </w:tcPr>
          <w:p w14:paraId="18B78E4E">
            <w:pPr>
              <w:autoSpaceDE w:val="0"/>
              <w:autoSpaceDN w:val="0"/>
              <w:adjustRightInd w:val="0"/>
              <w:spacing w:line="480" w:lineRule="exact"/>
              <w:jc w:val="center"/>
              <w:rPr>
                <w:rFonts w:ascii="宋体" w:hAnsi="宋体"/>
                <w:szCs w:val="21"/>
              </w:rPr>
            </w:pPr>
            <w:r>
              <w:rPr>
                <w:rFonts w:hint="eastAsia" w:ascii="宋体" w:hAnsi="宋体"/>
                <w:szCs w:val="21"/>
              </w:rPr>
              <w:t>…</w:t>
            </w:r>
          </w:p>
        </w:tc>
        <w:tc>
          <w:tcPr>
            <w:tcW w:w="1134" w:type="dxa"/>
            <w:tcBorders>
              <w:top w:val="single" w:color="auto" w:sz="6" w:space="0"/>
              <w:left w:val="single" w:color="auto" w:sz="6" w:space="0"/>
              <w:bottom w:val="single" w:color="auto" w:sz="6" w:space="0"/>
              <w:right w:val="single" w:color="auto" w:sz="6" w:space="0"/>
            </w:tcBorders>
          </w:tcPr>
          <w:p w14:paraId="5674A4B6">
            <w:pPr>
              <w:autoSpaceDE w:val="0"/>
              <w:autoSpaceDN w:val="0"/>
              <w:adjustRightInd w:val="0"/>
              <w:spacing w:line="360" w:lineRule="auto"/>
              <w:rPr>
                <w:rFonts w:ascii="宋体" w:hAnsi="宋体"/>
                <w:szCs w:val="21"/>
              </w:rPr>
            </w:pPr>
          </w:p>
        </w:tc>
        <w:tc>
          <w:tcPr>
            <w:tcW w:w="1500" w:type="dxa"/>
            <w:tcBorders>
              <w:top w:val="single" w:color="auto" w:sz="6" w:space="0"/>
              <w:left w:val="single" w:color="auto" w:sz="6" w:space="0"/>
              <w:bottom w:val="single" w:color="auto" w:sz="6" w:space="0"/>
              <w:right w:val="single" w:color="auto" w:sz="6" w:space="0"/>
            </w:tcBorders>
          </w:tcPr>
          <w:p w14:paraId="6C946F36">
            <w:pPr>
              <w:autoSpaceDE w:val="0"/>
              <w:autoSpaceDN w:val="0"/>
              <w:adjustRightInd w:val="0"/>
              <w:spacing w:line="360" w:lineRule="auto"/>
              <w:rPr>
                <w:rFonts w:ascii="宋体" w:hAnsi="宋体"/>
                <w:szCs w:val="21"/>
              </w:rPr>
            </w:pPr>
          </w:p>
        </w:tc>
        <w:tc>
          <w:tcPr>
            <w:tcW w:w="1260" w:type="dxa"/>
            <w:tcBorders>
              <w:top w:val="single" w:color="auto" w:sz="6" w:space="0"/>
              <w:left w:val="single" w:color="auto" w:sz="6" w:space="0"/>
              <w:bottom w:val="single" w:color="auto" w:sz="6" w:space="0"/>
              <w:right w:val="single" w:color="auto" w:sz="6" w:space="0"/>
            </w:tcBorders>
          </w:tcPr>
          <w:p w14:paraId="409242DC">
            <w:pPr>
              <w:autoSpaceDE w:val="0"/>
              <w:autoSpaceDN w:val="0"/>
              <w:adjustRightInd w:val="0"/>
              <w:spacing w:line="360" w:lineRule="auto"/>
              <w:rPr>
                <w:rFonts w:ascii="宋体" w:hAnsi="宋体"/>
                <w:szCs w:val="21"/>
              </w:rPr>
            </w:pPr>
          </w:p>
        </w:tc>
        <w:tc>
          <w:tcPr>
            <w:tcW w:w="642" w:type="dxa"/>
            <w:tcBorders>
              <w:top w:val="single" w:color="auto" w:sz="6" w:space="0"/>
              <w:left w:val="single" w:color="auto" w:sz="6" w:space="0"/>
              <w:bottom w:val="single" w:color="auto" w:sz="6" w:space="0"/>
              <w:right w:val="single" w:color="auto" w:sz="6" w:space="0"/>
            </w:tcBorders>
          </w:tcPr>
          <w:p w14:paraId="1127D8C6">
            <w:pPr>
              <w:autoSpaceDE w:val="0"/>
              <w:autoSpaceDN w:val="0"/>
              <w:adjustRightInd w:val="0"/>
              <w:spacing w:line="360" w:lineRule="auto"/>
              <w:rPr>
                <w:rFonts w:ascii="宋体" w:hAnsi="宋体"/>
                <w:szCs w:val="21"/>
              </w:rPr>
            </w:pPr>
          </w:p>
        </w:tc>
        <w:tc>
          <w:tcPr>
            <w:tcW w:w="992" w:type="dxa"/>
            <w:tcBorders>
              <w:top w:val="single" w:color="auto" w:sz="6" w:space="0"/>
              <w:left w:val="single" w:color="auto" w:sz="6" w:space="0"/>
              <w:bottom w:val="single" w:color="auto" w:sz="6" w:space="0"/>
              <w:right w:val="single" w:color="auto" w:sz="6" w:space="0"/>
            </w:tcBorders>
          </w:tcPr>
          <w:p w14:paraId="5FA1DC8B">
            <w:pPr>
              <w:autoSpaceDE w:val="0"/>
              <w:autoSpaceDN w:val="0"/>
              <w:adjustRightInd w:val="0"/>
              <w:spacing w:line="360" w:lineRule="auto"/>
              <w:rPr>
                <w:rFonts w:ascii="宋体" w:hAnsi="宋体"/>
                <w:szCs w:val="21"/>
              </w:rPr>
            </w:pPr>
          </w:p>
        </w:tc>
        <w:tc>
          <w:tcPr>
            <w:tcW w:w="1066" w:type="dxa"/>
            <w:tcBorders>
              <w:top w:val="single" w:color="auto" w:sz="6" w:space="0"/>
              <w:left w:val="single" w:color="auto" w:sz="6" w:space="0"/>
              <w:bottom w:val="single" w:color="auto" w:sz="6" w:space="0"/>
              <w:right w:val="single" w:color="auto" w:sz="6" w:space="0"/>
            </w:tcBorders>
          </w:tcPr>
          <w:p w14:paraId="0F5068D6">
            <w:pPr>
              <w:autoSpaceDE w:val="0"/>
              <w:autoSpaceDN w:val="0"/>
              <w:adjustRightInd w:val="0"/>
              <w:spacing w:line="360" w:lineRule="auto"/>
              <w:rPr>
                <w:rFonts w:ascii="宋体" w:hAnsi="宋体"/>
                <w:szCs w:val="21"/>
              </w:rPr>
            </w:pPr>
          </w:p>
        </w:tc>
        <w:tc>
          <w:tcPr>
            <w:tcW w:w="1080" w:type="dxa"/>
            <w:tcBorders>
              <w:top w:val="single" w:color="auto" w:sz="6" w:space="0"/>
              <w:left w:val="single" w:color="auto" w:sz="6" w:space="0"/>
              <w:bottom w:val="single" w:color="auto" w:sz="6" w:space="0"/>
              <w:right w:val="single" w:color="auto" w:sz="6" w:space="0"/>
            </w:tcBorders>
          </w:tcPr>
          <w:p w14:paraId="740F9B20">
            <w:pPr>
              <w:autoSpaceDE w:val="0"/>
              <w:autoSpaceDN w:val="0"/>
              <w:adjustRightInd w:val="0"/>
              <w:spacing w:line="360" w:lineRule="auto"/>
              <w:rPr>
                <w:rFonts w:ascii="宋体" w:hAnsi="宋体"/>
                <w:szCs w:val="21"/>
              </w:rPr>
            </w:pPr>
          </w:p>
        </w:tc>
        <w:tc>
          <w:tcPr>
            <w:tcW w:w="1192" w:type="dxa"/>
            <w:tcBorders>
              <w:top w:val="single" w:color="auto" w:sz="6" w:space="0"/>
              <w:left w:val="single" w:color="auto" w:sz="6" w:space="0"/>
              <w:bottom w:val="single" w:color="auto" w:sz="6" w:space="0"/>
              <w:right w:val="single" w:color="auto" w:sz="6" w:space="0"/>
            </w:tcBorders>
          </w:tcPr>
          <w:p w14:paraId="58B36DDD">
            <w:pPr>
              <w:autoSpaceDE w:val="0"/>
              <w:autoSpaceDN w:val="0"/>
              <w:adjustRightInd w:val="0"/>
              <w:spacing w:line="360" w:lineRule="auto"/>
              <w:rPr>
                <w:rFonts w:ascii="宋体" w:hAnsi="宋体"/>
                <w:szCs w:val="21"/>
              </w:rPr>
            </w:pPr>
          </w:p>
        </w:tc>
      </w:tr>
      <w:tr w14:paraId="1299ABEE">
        <w:tblPrEx>
          <w:tblCellMar>
            <w:top w:w="0" w:type="dxa"/>
            <w:left w:w="108" w:type="dxa"/>
            <w:bottom w:w="0" w:type="dxa"/>
            <w:right w:w="108" w:type="dxa"/>
          </w:tblCellMar>
        </w:tblPrEx>
        <w:trPr>
          <w:trHeight w:val="851" w:hRule="atLeast"/>
        </w:trPr>
        <w:tc>
          <w:tcPr>
            <w:tcW w:w="1668" w:type="dxa"/>
            <w:gridSpan w:val="2"/>
            <w:tcBorders>
              <w:top w:val="single" w:color="auto" w:sz="6" w:space="0"/>
              <w:left w:val="single" w:color="auto" w:sz="6" w:space="0"/>
              <w:bottom w:val="single" w:color="auto" w:sz="6" w:space="0"/>
              <w:right w:val="single" w:color="auto" w:sz="6" w:space="0"/>
            </w:tcBorders>
            <w:vAlign w:val="center"/>
          </w:tcPr>
          <w:p w14:paraId="76D22482">
            <w:pPr>
              <w:autoSpaceDE w:val="0"/>
              <w:autoSpaceDN w:val="0"/>
              <w:adjustRightInd w:val="0"/>
              <w:spacing w:line="360" w:lineRule="auto"/>
              <w:jc w:val="center"/>
              <w:rPr>
                <w:rFonts w:ascii="宋体" w:hAnsi="宋体"/>
                <w:szCs w:val="21"/>
              </w:rPr>
            </w:pPr>
            <w:r>
              <w:rPr>
                <w:rFonts w:hint="eastAsia" w:ascii="宋体" w:hAnsi="宋体"/>
                <w:szCs w:val="21"/>
                <w:lang w:val="zh-CN"/>
              </w:rPr>
              <w:t>合计</w:t>
            </w:r>
          </w:p>
        </w:tc>
        <w:tc>
          <w:tcPr>
            <w:tcW w:w="7732" w:type="dxa"/>
            <w:gridSpan w:val="7"/>
            <w:tcBorders>
              <w:top w:val="single" w:color="auto" w:sz="6" w:space="0"/>
              <w:left w:val="single" w:color="auto" w:sz="6" w:space="0"/>
              <w:bottom w:val="single" w:color="auto" w:sz="6" w:space="0"/>
              <w:right w:val="single" w:color="auto" w:sz="6" w:space="0"/>
            </w:tcBorders>
            <w:vAlign w:val="center"/>
          </w:tcPr>
          <w:p w14:paraId="368A55B5">
            <w:pPr>
              <w:autoSpaceDE w:val="0"/>
              <w:autoSpaceDN w:val="0"/>
              <w:adjustRightInd w:val="0"/>
              <w:spacing w:line="360" w:lineRule="auto"/>
              <w:ind w:firstLine="105" w:firstLineChars="50"/>
              <w:rPr>
                <w:rFonts w:ascii="宋体" w:hAnsi="宋体"/>
                <w:szCs w:val="21"/>
                <w:lang w:val="zh-CN"/>
              </w:rPr>
            </w:pPr>
            <w:r>
              <w:rPr>
                <w:rFonts w:hint="eastAsia" w:ascii="宋体" w:hAnsi="宋体"/>
                <w:szCs w:val="21"/>
                <w:lang w:val="zh-CN"/>
              </w:rPr>
              <w:t>大写：　　　　　　小写：</w:t>
            </w:r>
          </w:p>
        </w:tc>
      </w:tr>
    </w:tbl>
    <w:p w14:paraId="341F24D0">
      <w:pPr>
        <w:autoSpaceDE w:val="0"/>
        <w:autoSpaceDN w:val="0"/>
        <w:adjustRightInd w:val="0"/>
        <w:spacing w:line="480" w:lineRule="auto"/>
        <w:rPr>
          <w:rFonts w:hint="eastAsia" w:ascii="宋体" w:hAnsi="宋体" w:eastAsia="宋体"/>
          <w:szCs w:val="21"/>
          <w:lang w:val="en-US" w:eastAsia="zh-CN"/>
        </w:rPr>
      </w:pPr>
      <w:r>
        <w:rPr>
          <w:rFonts w:hint="eastAsia" w:ascii="宋体" w:hAnsi="宋体"/>
          <w:szCs w:val="21"/>
          <w:lang w:val="en-US" w:eastAsia="zh-CN"/>
        </w:rPr>
        <w:t>注：最终数量以实际发生量为准。</w:t>
      </w:r>
    </w:p>
    <w:p w14:paraId="2F912B4F">
      <w:pPr>
        <w:autoSpaceDE w:val="0"/>
        <w:autoSpaceDN w:val="0"/>
        <w:adjustRightInd w:val="0"/>
        <w:spacing w:line="480" w:lineRule="auto"/>
        <w:rPr>
          <w:rFonts w:ascii="宋体" w:hAnsi="宋体"/>
          <w:szCs w:val="21"/>
          <w:lang w:val="zh-CN"/>
        </w:rPr>
      </w:pPr>
      <w:r>
        <w:rPr>
          <w:rFonts w:hint="eastAsia" w:ascii="宋体" w:hAnsi="宋体"/>
          <w:szCs w:val="21"/>
          <w:lang w:val="zh-CN"/>
        </w:rPr>
        <w:t>供应商（公章）：</w:t>
      </w:r>
    </w:p>
    <w:p w14:paraId="0A8C1F05">
      <w:pPr>
        <w:autoSpaceDE w:val="0"/>
        <w:autoSpaceDN w:val="0"/>
        <w:adjustRightInd w:val="0"/>
        <w:spacing w:line="480" w:lineRule="auto"/>
        <w:rPr>
          <w:rFonts w:ascii="宋体" w:hAnsi="宋体"/>
          <w:szCs w:val="21"/>
          <w:lang w:val="zh-CN"/>
        </w:rPr>
      </w:pPr>
    </w:p>
    <w:p w14:paraId="47F53788">
      <w:pPr>
        <w:autoSpaceDE w:val="0"/>
        <w:autoSpaceDN w:val="0"/>
        <w:adjustRightInd w:val="0"/>
        <w:spacing w:line="480" w:lineRule="auto"/>
        <w:rPr>
          <w:rFonts w:ascii="宋体" w:hAnsi="宋体"/>
          <w:sz w:val="24"/>
          <w:szCs w:val="24"/>
          <w:lang w:val="zh-CN"/>
        </w:rPr>
      </w:pPr>
    </w:p>
    <w:p w14:paraId="5C1AFDA2">
      <w:pPr>
        <w:autoSpaceDE w:val="0"/>
        <w:autoSpaceDN w:val="0"/>
        <w:adjustRightInd w:val="0"/>
        <w:spacing w:line="480" w:lineRule="auto"/>
        <w:rPr>
          <w:rFonts w:ascii="宋体" w:hAnsi="宋体"/>
          <w:sz w:val="24"/>
          <w:szCs w:val="24"/>
          <w:lang w:val="zh-CN"/>
        </w:rPr>
      </w:pPr>
    </w:p>
    <w:p w14:paraId="7E2AA015">
      <w:pPr>
        <w:spacing w:line="300" w:lineRule="exact"/>
        <w:rPr>
          <w:rFonts w:ascii="宋体" w:hAnsi="宋体"/>
          <w:color w:val="000000"/>
          <w:sz w:val="24"/>
          <w:szCs w:val="24"/>
        </w:rPr>
      </w:pPr>
    </w:p>
    <w:p w14:paraId="4C218F55">
      <w:pPr>
        <w:autoSpaceDE w:val="0"/>
        <w:autoSpaceDN w:val="0"/>
        <w:adjustRightInd w:val="0"/>
        <w:spacing w:line="360" w:lineRule="auto"/>
        <w:jc w:val="center"/>
        <w:outlineLvl w:val="9"/>
        <w:rPr>
          <w:rFonts w:ascii="宋体" w:hAnsi="宋体"/>
          <w:b/>
          <w:bCs/>
          <w:color w:val="000000"/>
          <w:sz w:val="24"/>
          <w:szCs w:val="24"/>
        </w:rPr>
      </w:pPr>
    </w:p>
    <w:p w14:paraId="7BE38E81">
      <w:pPr>
        <w:autoSpaceDE w:val="0"/>
        <w:autoSpaceDN w:val="0"/>
        <w:adjustRightInd w:val="0"/>
        <w:spacing w:line="360" w:lineRule="auto"/>
        <w:jc w:val="center"/>
        <w:outlineLvl w:val="9"/>
        <w:rPr>
          <w:rFonts w:ascii="宋体" w:hAnsi="宋体"/>
          <w:b/>
          <w:bCs/>
          <w:color w:val="000000"/>
          <w:sz w:val="24"/>
          <w:szCs w:val="24"/>
        </w:rPr>
      </w:pPr>
    </w:p>
    <w:p w14:paraId="41A363F9">
      <w:pPr>
        <w:autoSpaceDE w:val="0"/>
        <w:autoSpaceDN w:val="0"/>
        <w:adjustRightInd w:val="0"/>
        <w:spacing w:line="360" w:lineRule="auto"/>
        <w:jc w:val="center"/>
        <w:outlineLvl w:val="9"/>
        <w:rPr>
          <w:rFonts w:ascii="宋体" w:hAnsi="宋体"/>
          <w:b/>
          <w:bCs/>
          <w:color w:val="000000"/>
          <w:sz w:val="24"/>
          <w:szCs w:val="24"/>
        </w:rPr>
      </w:pPr>
    </w:p>
    <w:p w14:paraId="5ADDD11C">
      <w:pPr>
        <w:autoSpaceDE w:val="0"/>
        <w:autoSpaceDN w:val="0"/>
        <w:adjustRightInd w:val="0"/>
        <w:spacing w:line="360" w:lineRule="auto"/>
        <w:jc w:val="center"/>
        <w:outlineLvl w:val="9"/>
        <w:rPr>
          <w:rFonts w:ascii="宋体" w:hAnsi="宋体"/>
          <w:b/>
          <w:bCs/>
          <w:color w:val="000000"/>
          <w:sz w:val="24"/>
          <w:szCs w:val="24"/>
        </w:rPr>
      </w:pPr>
    </w:p>
    <w:p w14:paraId="37AFE0C3">
      <w:pPr>
        <w:autoSpaceDE w:val="0"/>
        <w:autoSpaceDN w:val="0"/>
        <w:adjustRightInd w:val="0"/>
        <w:spacing w:line="360" w:lineRule="auto"/>
        <w:jc w:val="center"/>
        <w:outlineLvl w:val="9"/>
        <w:rPr>
          <w:rFonts w:ascii="宋体" w:hAnsi="宋体"/>
          <w:b/>
          <w:bCs/>
          <w:color w:val="000000"/>
          <w:sz w:val="24"/>
          <w:szCs w:val="24"/>
        </w:rPr>
      </w:pPr>
    </w:p>
    <w:p w14:paraId="7A79AAF8">
      <w:pPr>
        <w:autoSpaceDE w:val="0"/>
        <w:autoSpaceDN w:val="0"/>
        <w:adjustRightInd w:val="0"/>
        <w:spacing w:line="360" w:lineRule="auto"/>
        <w:jc w:val="center"/>
        <w:outlineLvl w:val="9"/>
        <w:rPr>
          <w:rFonts w:ascii="宋体" w:hAnsi="宋体"/>
          <w:b/>
          <w:bCs/>
          <w:color w:val="000000"/>
          <w:sz w:val="24"/>
          <w:szCs w:val="24"/>
        </w:rPr>
      </w:pPr>
    </w:p>
    <w:p w14:paraId="7A9C2D28">
      <w:pPr>
        <w:autoSpaceDE w:val="0"/>
        <w:autoSpaceDN w:val="0"/>
        <w:adjustRightInd w:val="0"/>
        <w:spacing w:line="360" w:lineRule="auto"/>
        <w:jc w:val="center"/>
        <w:outlineLvl w:val="9"/>
        <w:rPr>
          <w:rFonts w:ascii="宋体" w:hAnsi="宋体"/>
          <w:b/>
          <w:bCs/>
          <w:color w:val="000000"/>
          <w:sz w:val="24"/>
          <w:szCs w:val="24"/>
        </w:rPr>
      </w:pPr>
    </w:p>
    <w:p w14:paraId="349CFCA6">
      <w:pPr>
        <w:autoSpaceDE w:val="0"/>
        <w:autoSpaceDN w:val="0"/>
        <w:adjustRightInd w:val="0"/>
        <w:spacing w:line="360" w:lineRule="auto"/>
        <w:jc w:val="center"/>
        <w:outlineLvl w:val="0"/>
        <w:rPr>
          <w:rFonts w:hint="eastAsia" w:ascii="宋体" w:hAnsi="宋体" w:eastAsia="宋体"/>
          <w:b/>
          <w:bCs/>
          <w:color w:val="000000"/>
          <w:sz w:val="24"/>
          <w:szCs w:val="24"/>
          <w:lang w:eastAsia="zh-CN"/>
        </w:rPr>
      </w:pPr>
      <w:bookmarkStart w:id="28" w:name="_Toc15326"/>
      <w:r>
        <w:rPr>
          <w:rFonts w:hint="eastAsia" w:ascii="宋体" w:hAnsi="宋体"/>
          <w:b/>
          <w:bCs/>
          <w:color w:val="000000"/>
          <w:sz w:val="24"/>
          <w:szCs w:val="24"/>
        </w:rPr>
        <w:t>4.2 技术规格偏离表</w:t>
      </w:r>
      <w:bookmarkEnd w:id="28"/>
      <w:r>
        <w:rPr>
          <w:rFonts w:hint="eastAsia" w:ascii="宋体" w:hAnsi="宋体"/>
          <w:b/>
          <w:bCs/>
          <w:color w:val="000000"/>
          <w:sz w:val="24"/>
          <w:szCs w:val="24"/>
          <w:lang w:val="en-US" w:eastAsia="zh-CN"/>
        </w:rPr>
        <w:t xml:space="preserve"> </w:t>
      </w:r>
    </w:p>
    <w:p w14:paraId="51F60A3E">
      <w:pPr>
        <w:spacing w:before="50" w:after="156" w:afterLines="50" w:line="360" w:lineRule="auto"/>
        <w:contextualSpacing/>
        <w:jc w:val="left"/>
        <w:rPr>
          <w:rFonts w:ascii="宋体" w:hAnsi="宋体"/>
          <w:color w:val="000000"/>
          <w:szCs w:val="21"/>
        </w:rPr>
      </w:pPr>
      <w:r>
        <w:rPr>
          <w:rFonts w:hint="eastAsia" w:ascii="宋体" w:hAnsi="宋体"/>
          <w:color w:val="000000"/>
          <w:szCs w:val="21"/>
        </w:rPr>
        <w:t>项目编号：</w:t>
      </w:r>
    </w:p>
    <w:p w14:paraId="6CF7EED9">
      <w:pPr>
        <w:autoSpaceDE w:val="0"/>
        <w:autoSpaceDN w:val="0"/>
        <w:adjustRightInd w:val="0"/>
        <w:spacing w:line="360" w:lineRule="auto"/>
        <w:outlineLvl w:val="0"/>
        <w:rPr>
          <w:rFonts w:hAnsi="宋体"/>
          <w:b/>
          <w:snapToGrid w:val="0"/>
          <w:kern w:val="0"/>
          <w:szCs w:val="21"/>
        </w:rPr>
      </w:pPr>
      <w:bookmarkStart w:id="29" w:name="_Toc13955"/>
      <w:r>
        <w:rPr>
          <w:rFonts w:hint="eastAsia" w:ascii="宋体" w:hAnsi="宋体"/>
          <w:color w:val="000000"/>
          <w:szCs w:val="21"/>
        </w:rPr>
        <w:t>项目名称：</w:t>
      </w:r>
      <w:bookmarkEnd w:id="29"/>
      <w:r>
        <w:rPr>
          <w:rFonts w:hint="eastAsia" w:ascii="宋体" w:hAnsi="宋体"/>
          <w:color w:val="000000"/>
          <w:szCs w:val="21"/>
        </w:rPr>
        <w:t xml:space="preserve">   </w:t>
      </w:r>
    </w:p>
    <w:tbl>
      <w:tblPr>
        <w:tblStyle w:val="31"/>
        <w:tblW w:w="9322" w:type="dxa"/>
        <w:tblInd w:w="0" w:type="dxa"/>
        <w:tblLayout w:type="fixed"/>
        <w:tblCellMar>
          <w:top w:w="0" w:type="dxa"/>
          <w:left w:w="108" w:type="dxa"/>
          <w:bottom w:w="0" w:type="dxa"/>
          <w:right w:w="108" w:type="dxa"/>
        </w:tblCellMar>
      </w:tblPr>
      <w:tblGrid>
        <w:gridCol w:w="675"/>
        <w:gridCol w:w="1418"/>
        <w:gridCol w:w="1276"/>
        <w:gridCol w:w="1559"/>
        <w:gridCol w:w="1417"/>
        <w:gridCol w:w="1560"/>
        <w:gridCol w:w="1417"/>
      </w:tblGrid>
      <w:tr w14:paraId="5C0A7874">
        <w:tblPrEx>
          <w:tblCellMar>
            <w:top w:w="0" w:type="dxa"/>
            <w:left w:w="108" w:type="dxa"/>
            <w:bottom w:w="0" w:type="dxa"/>
            <w:right w:w="108" w:type="dxa"/>
          </w:tblCellMar>
        </w:tblPrEx>
        <w:trPr>
          <w:trHeight w:val="851" w:hRule="atLeast"/>
        </w:trPr>
        <w:tc>
          <w:tcPr>
            <w:tcW w:w="675" w:type="dxa"/>
            <w:tcBorders>
              <w:top w:val="single" w:color="auto" w:sz="6" w:space="0"/>
              <w:left w:val="single" w:color="auto" w:sz="6" w:space="0"/>
              <w:bottom w:val="single" w:color="auto" w:sz="6" w:space="0"/>
              <w:right w:val="single" w:color="auto" w:sz="6" w:space="0"/>
            </w:tcBorders>
            <w:shd w:val="clear" w:color="auto" w:fill="F2F2F2"/>
            <w:vAlign w:val="center"/>
          </w:tcPr>
          <w:p w14:paraId="1B6E1CD5">
            <w:pPr>
              <w:pStyle w:val="8"/>
              <w:jc w:val="center"/>
              <w:rPr>
                <w:rFonts w:ascii="宋体" w:hAnsi="宋体" w:eastAsia="宋体" w:cs="宋体"/>
                <w:b/>
                <w:bCs/>
                <w:sz w:val="21"/>
                <w:szCs w:val="21"/>
              </w:rPr>
            </w:pPr>
            <w:r>
              <w:rPr>
                <w:rFonts w:hint="eastAsia" w:ascii="宋体" w:hAnsi="宋体" w:eastAsia="宋体" w:cs="宋体"/>
                <w:b/>
                <w:bCs/>
                <w:sz w:val="21"/>
                <w:szCs w:val="21"/>
              </w:rPr>
              <w:t>序号</w:t>
            </w:r>
          </w:p>
        </w:tc>
        <w:tc>
          <w:tcPr>
            <w:tcW w:w="1418" w:type="dxa"/>
            <w:tcBorders>
              <w:top w:val="single" w:color="auto" w:sz="6" w:space="0"/>
              <w:left w:val="single" w:color="auto" w:sz="6" w:space="0"/>
              <w:bottom w:val="single" w:color="auto" w:sz="6" w:space="0"/>
              <w:right w:val="single" w:color="auto" w:sz="6" w:space="0"/>
            </w:tcBorders>
            <w:shd w:val="clear" w:color="auto" w:fill="F2F2F2"/>
            <w:vAlign w:val="center"/>
          </w:tcPr>
          <w:p w14:paraId="3BAE3D9A">
            <w:pPr>
              <w:pStyle w:val="8"/>
              <w:jc w:val="center"/>
              <w:rPr>
                <w:rFonts w:ascii="宋体" w:hAnsi="宋体" w:eastAsia="宋体" w:cs="宋体"/>
                <w:b/>
                <w:bCs/>
                <w:sz w:val="21"/>
                <w:szCs w:val="21"/>
              </w:rPr>
            </w:pPr>
            <w:r>
              <w:rPr>
                <w:rFonts w:hint="eastAsia" w:ascii="宋体" w:hAnsi="宋体" w:eastAsia="宋体" w:cs="宋体"/>
                <w:b/>
                <w:bCs/>
                <w:sz w:val="21"/>
                <w:szCs w:val="21"/>
              </w:rPr>
              <w:t>货物服务</w:t>
            </w:r>
          </w:p>
          <w:p w14:paraId="0E3792CF">
            <w:pPr>
              <w:pStyle w:val="8"/>
              <w:jc w:val="center"/>
              <w:rPr>
                <w:rFonts w:ascii="宋体" w:hAnsi="宋体" w:eastAsia="宋体" w:cs="宋体"/>
                <w:b/>
                <w:bCs/>
                <w:sz w:val="21"/>
                <w:szCs w:val="21"/>
              </w:rPr>
            </w:pPr>
            <w:r>
              <w:rPr>
                <w:rFonts w:hint="eastAsia" w:ascii="宋体" w:hAnsi="宋体" w:eastAsia="宋体" w:cs="宋体"/>
                <w:b/>
                <w:bCs/>
                <w:sz w:val="21"/>
                <w:szCs w:val="21"/>
              </w:rPr>
              <w:t>名称</w:t>
            </w:r>
          </w:p>
        </w:tc>
        <w:tc>
          <w:tcPr>
            <w:tcW w:w="1276" w:type="dxa"/>
            <w:tcBorders>
              <w:top w:val="single" w:color="auto" w:sz="6" w:space="0"/>
              <w:left w:val="single" w:color="auto" w:sz="6" w:space="0"/>
              <w:bottom w:val="single" w:color="auto" w:sz="6" w:space="0"/>
              <w:right w:val="single" w:color="auto" w:sz="6" w:space="0"/>
            </w:tcBorders>
            <w:shd w:val="clear" w:color="auto" w:fill="F2F2F2"/>
            <w:vAlign w:val="center"/>
          </w:tcPr>
          <w:p w14:paraId="1291B614">
            <w:pPr>
              <w:pStyle w:val="8"/>
              <w:jc w:val="center"/>
              <w:rPr>
                <w:rFonts w:ascii="宋体" w:hAnsi="宋体" w:eastAsia="宋体" w:cs="宋体"/>
                <w:b/>
                <w:bCs/>
                <w:sz w:val="21"/>
                <w:szCs w:val="21"/>
              </w:rPr>
            </w:pPr>
            <w:r>
              <w:rPr>
                <w:rFonts w:hint="eastAsia" w:ascii="宋体" w:hAnsi="宋体" w:eastAsia="宋体" w:cs="宋体"/>
                <w:b/>
                <w:bCs/>
                <w:sz w:val="21"/>
                <w:szCs w:val="21"/>
              </w:rPr>
              <w:t>规格型号</w:t>
            </w:r>
          </w:p>
        </w:tc>
        <w:tc>
          <w:tcPr>
            <w:tcW w:w="1559" w:type="dxa"/>
            <w:tcBorders>
              <w:top w:val="single" w:color="auto" w:sz="6" w:space="0"/>
              <w:left w:val="single" w:color="auto" w:sz="6" w:space="0"/>
              <w:bottom w:val="single" w:color="auto" w:sz="6" w:space="0"/>
              <w:right w:val="single" w:color="auto" w:sz="6" w:space="0"/>
            </w:tcBorders>
            <w:shd w:val="clear" w:color="auto" w:fill="F2F2F2"/>
            <w:vAlign w:val="center"/>
          </w:tcPr>
          <w:p w14:paraId="485275E2">
            <w:pPr>
              <w:pStyle w:val="8"/>
              <w:jc w:val="center"/>
              <w:rPr>
                <w:rFonts w:ascii="宋体" w:hAnsi="宋体" w:eastAsia="宋体" w:cs="宋体"/>
                <w:b/>
                <w:bCs/>
                <w:sz w:val="21"/>
                <w:szCs w:val="21"/>
              </w:rPr>
            </w:pPr>
            <w:r>
              <w:rPr>
                <w:rFonts w:hint="eastAsia" w:ascii="宋体" w:hAnsi="宋体" w:eastAsia="宋体" w:cs="宋体"/>
                <w:b/>
                <w:bCs/>
                <w:sz w:val="21"/>
                <w:szCs w:val="21"/>
              </w:rPr>
              <w:t>磋商文件</w:t>
            </w:r>
          </w:p>
          <w:p w14:paraId="1D1B4AC3">
            <w:pPr>
              <w:pStyle w:val="8"/>
              <w:jc w:val="center"/>
              <w:rPr>
                <w:rFonts w:ascii="宋体" w:hAnsi="宋体" w:eastAsia="宋体" w:cs="宋体"/>
                <w:b/>
                <w:bCs/>
                <w:sz w:val="21"/>
                <w:szCs w:val="21"/>
              </w:rPr>
            </w:pPr>
            <w:r>
              <w:rPr>
                <w:rFonts w:hint="eastAsia" w:ascii="宋体" w:hAnsi="宋体" w:eastAsia="宋体" w:cs="宋体"/>
                <w:b/>
                <w:bCs/>
                <w:sz w:val="21"/>
                <w:szCs w:val="21"/>
              </w:rPr>
              <w:t>技术参数</w:t>
            </w:r>
          </w:p>
        </w:tc>
        <w:tc>
          <w:tcPr>
            <w:tcW w:w="1417" w:type="dxa"/>
            <w:tcBorders>
              <w:top w:val="single" w:color="auto" w:sz="6" w:space="0"/>
              <w:left w:val="single" w:color="auto" w:sz="6" w:space="0"/>
              <w:bottom w:val="single" w:color="auto" w:sz="6" w:space="0"/>
              <w:right w:val="single" w:color="auto" w:sz="6" w:space="0"/>
            </w:tcBorders>
            <w:shd w:val="clear" w:color="auto" w:fill="F2F2F2"/>
            <w:vAlign w:val="center"/>
          </w:tcPr>
          <w:p w14:paraId="57B2AABC">
            <w:pPr>
              <w:pStyle w:val="8"/>
              <w:jc w:val="center"/>
              <w:rPr>
                <w:rFonts w:ascii="宋体" w:hAnsi="宋体" w:eastAsia="宋体" w:cs="宋体"/>
                <w:b/>
                <w:bCs/>
                <w:sz w:val="21"/>
                <w:szCs w:val="21"/>
              </w:rPr>
            </w:pPr>
            <w:r>
              <w:rPr>
                <w:rFonts w:hint="eastAsia" w:ascii="宋体" w:hAnsi="宋体" w:eastAsia="宋体" w:cs="宋体"/>
                <w:b/>
                <w:bCs/>
                <w:sz w:val="21"/>
                <w:szCs w:val="21"/>
              </w:rPr>
              <w:t>响应文件技术参数</w:t>
            </w:r>
          </w:p>
        </w:tc>
        <w:tc>
          <w:tcPr>
            <w:tcW w:w="1560" w:type="dxa"/>
            <w:tcBorders>
              <w:top w:val="single" w:color="auto" w:sz="6" w:space="0"/>
              <w:left w:val="single" w:color="auto" w:sz="6" w:space="0"/>
              <w:bottom w:val="single" w:color="auto" w:sz="6" w:space="0"/>
              <w:right w:val="single" w:color="auto" w:sz="6" w:space="0"/>
            </w:tcBorders>
            <w:shd w:val="clear" w:color="auto" w:fill="F2F2F2"/>
            <w:vAlign w:val="center"/>
          </w:tcPr>
          <w:p w14:paraId="49B51ECA">
            <w:pPr>
              <w:pStyle w:val="8"/>
              <w:jc w:val="center"/>
              <w:rPr>
                <w:rFonts w:ascii="宋体" w:hAnsi="宋体" w:eastAsia="宋体" w:cs="宋体"/>
                <w:b/>
                <w:bCs/>
                <w:sz w:val="21"/>
                <w:szCs w:val="21"/>
              </w:rPr>
            </w:pPr>
            <w:r>
              <w:rPr>
                <w:rFonts w:hint="eastAsia" w:ascii="宋体" w:hAnsi="宋体" w:eastAsia="宋体" w:cs="宋体"/>
                <w:b/>
                <w:bCs/>
                <w:sz w:val="21"/>
                <w:szCs w:val="21"/>
              </w:rPr>
              <w:t>偏离</w:t>
            </w:r>
          </w:p>
          <w:p w14:paraId="5994377D">
            <w:pPr>
              <w:jc w:val="center"/>
              <w:rPr>
                <w:rFonts w:ascii="宋体" w:hAnsi="宋体"/>
                <w:b/>
                <w:bCs/>
                <w:szCs w:val="21"/>
              </w:rPr>
            </w:pPr>
            <w:r>
              <w:rPr>
                <w:rFonts w:hint="eastAsia" w:ascii="宋体" w:hAnsi="宋体"/>
                <w:b/>
                <w:bCs/>
                <w:szCs w:val="21"/>
              </w:rPr>
              <w:t>（无偏离/正偏离/负偏离）</w:t>
            </w:r>
          </w:p>
        </w:tc>
        <w:tc>
          <w:tcPr>
            <w:tcW w:w="1417" w:type="dxa"/>
            <w:tcBorders>
              <w:top w:val="single" w:color="auto" w:sz="6" w:space="0"/>
              <w:left w:val="single" w:color="auto" w:sz="6" w:space="0"/>
              <w:bottom w:val="single" w:color="auto" w:sz="6" w:space="0"/>
              <w:right w:val="single" w:color="auto" w:sz="6" w:space="0"/>
            </w:tcBorders>
            <w:shd w:val="clear" w:color="auto" w:fill="F2F2F2"/>
            <w:vAlign w:val="center"/>
          </w:tcPr>
          <w:p w14:paraId="6528B0C5">
            <w:pPr>
              <w:pStyle w:val="8"/>
              <w:jc w:val="center"/>
              <w:rPr>
                <w:rFonts w:ascii="宋体" w:hAnsi="宋体" w:eastAsia="宋体" w:cs="宋体"/>
                <w:b/>
                <w:bCs/>
                <w:sz w:val="21"/>
                <w:szCs w:val="21"/>
              </w:rPr>
            </w:pPr>
            <w:r>
              <w:rPr>
                <w:rFonts w:hint="eastAsia" w:ascii="宋体" w:hAnsi="宋体" w:eastAsia="宋体" w:cs="宋体"/>
                <w:b/>
                <w:bCs/>
                <w:sz w:val="21"/>
                <w:szCs w:val="21"/>
              </w:rPr>
              <w:t>偏离内容</w:t>
            </w:r>
          </w:p>
          <w:p w14:paraId="3CB41FF9">
            <w:pPr>
              <w:pStyle w:val="8"/>
              <w:jc w:val="center"/>
              <w:rPr>
                <w:rFonts w:ascii="宋体" w:hAnsi="宋体" w:eastAsia="宋体" w:cs="宋体"/>
                <w:b/>
                <w:bCs/>
                <w:sz w:val="21"/>
                <w:szCs w:val="21"/>
              </w:rPr>
            </w:pPr>
            <w:r>
              <w:rPr>
                <w:rFonts w:hint="eastAsia" w:ascii="宋体" w:hAnsi="宋体" w:eastAsia="宋体" w:cs="宋体"/>
                <w:b/>
                <w:bCs/>
                <w:sz w:val="21"/>
                <w:szCs w:val="21"/>
              </w:rPr>
              <w:t>说明</w:t>
            </w:r>
          </w:p>
        </w:tc>
      </w:tr>
      <w:tr w14:paraId="115370B1">
        <w:tblPrEx>
          <w:tblCellMar>
            <w:top w:w="0" w:type="dxa"/>
            <w:left w:w="108" w:type="dxa"/>
            <w:bottom w:w="0" w:type="dxa"/>
            <w:right w:w="108" w:type="dxa"/>
          </w:tblCellMar>
        </w:tblPrEx>
        <w:trPr>
          <w:trHeight w:val="851" w:hRule="atLeast"/>
        </w:trPr>
        <w:tc>
          <w:tcPr>
            <w:tcW w:w="675" w:type="dxa"/>
            <w:tcBorders>
              <w:top w:val="single" w:color="auto" w:sz="6" w:space="0"/>
              <w:left w:val="single" w:color="auto" w:sz="6" w:space="0"/>
              <w:bottom w:val="single" w:color="auto" w:sz="6" w:space="0"/>
              <w:right w:val="single" w:color="auto" w:sz="6" w:space="0"/>
            </w:tcBorders>
            <w:vAlign w:val="center"/>
          </w:tcPr>
          <w:p w14:paraId="15D958F7">
            <w:pPr>
              <w:autoSpaceDE w:val="0"/>
              <w:autoSpaceDN w:val="0"/>
              <w:adjustRightInd w:val="0"/>
              <w:spacing w:line="480" w:lineRule="exact"/>
              <w:jc w:val="center"/>
              <w:rPr>
                <w:rFonts w:ascii="宋体" w:hAnsi="宋体"/>
                <w:bCs/>
                <w:szCs w:val="21"/>
              </w:rPr>
            </w:pPr>
            <w:r>
              <w:rPr>
                <w:rFonts w:hint="eastAsia" w:ascii="宋体" w:hAnsi="宋体"/>
                <w:bCs/>
                <w:szCs w:val="21"/>
              </w:rPr>
              <w:t>1</w:t>
            </w:r>
          </w:p>
        </w:tc>
        <w:tc>
          <w:tcPr>
            <w:tcW w:w="1418" w:type="dxa"/>
            <w:tcBorders>
              <w:top w:val="single" w:color="auto" w:sz="6" w:space="0"/>
              <w:left w:val="single" w:color="auto" w:sz="6" w:space="0"/>
              <w:bottom w:val="single" w:color="auto" w:sz="6" w:space="0"/>
              <w:right w:val="single" w:color="auto" w:sz="6" w:space="0"/>
            </w:tcBorders>
          </w:tcPr>
          <w:p w14:paraId="303EC087">
            <w:pPr>
              <w:autoSpaceDE w:val="0"/>
              <w:autoSpaceDN w:val="0"/>
              <w:adjustRightInd w:val="0"/>
              <w:spacing w:line="480" w:lineRule="exact"/>
              <w:rPr>
                <w:rFonts w:ascii="宋体" w:hAnsi="宋体"/>
                <w:b/>
                <w:bCs/>
                <w:szCs w:val="21"/>
              </w:rPr>
            </w:pPr>
          </w:p>
        </w:tc>
        <w:tc>
          <w:tcPr>
            <w:tcW w:w="1276" w:type="dxa"/>
            <w:tcBorders>
              <w:top w:val="single" w:color="auto" w:sz="6" w:space="0"/>
              <w:left w:val="single" w:color="auto" w:sz="6" w:space="0"/>
              <w:bottom w:val="single" w:color="auto" w:sz="6" w:space="0"/>
              <w:right w:val="single" w:color="auto" w:sz="6" w:space="0"/>
            </w:tcBorders>
          </w:tcPr>
          <w:p w14:paraId="5F39EE97">
            <w:pPr>
              <w:autoSpaceDE w:val="0"/>
              <w:autoSpaceDN w:val="0"/>
              <w:adjustRightInd w:val="0"/>
              <w:spacing w:line="480" w:lineRule="exact"/>
              <w:rPr>
                <w:rFonts w:ascii="宋体" w:hAnsi="宋体"/>
                <w:b/>
                <w:bCs/>
                <w:szCs w:val="21"/>
              </w:rPr>
            </w:pPr>
          </w:p>
        </w:tc>
        <w:tc>
          <w:tcPr>
            <w:tcW w:w="1559" w:type="dxa"/>
            <w:tcBorders>
              <w:top w:val="single" w:color="auto" w:sz="6" w:space="0"/>
              <w:left w:val="single" w:color="auto" w:sz="6" w:space="0"/>
              <w:bottom w:val="single" w:color="auto" w:sz="6" w:space="0"/>
              <w:right w:val="single" w:color="auto" w:sz="6" w:space="0"/>
            </w:tcBorders>
          </w:tcPr>
          <w:p w14:paraId="73DE27FA">
            <w:pPr>
              <w:autoSpaceDE w:val="0"/>
              <w:autoSpaceDN w:val="0"/>
              <w:adjustRightInd w:val="0"/>
              <w:spacing w:line="480" w:lineRule="exact"/>
              <w:rPr>
                <w:rFonts w:ascii="宋体" w:hAnsi="宋体"/>
                <w:b/>
                <w:bCs/>
                <w:szCs w:val="21"/>
              </w:rPr>
            </w:pPr>
          </w:p>
        </w:tc>
        <w:tc>
          <w:tcPr>
            <w:tcW w:w="1417" w:type="dxa"/>
            <w:tcBorders>
              <w:top w:val="single" w:color="auto" w:sz="6" w:space="0"/>
              <w:left w:val="single" w:color="auto" w:sz="6" w:space="0"/>
              <w:bottom w:val="single" w:color="auto" w:sz="6" w:space="0"/>
              <w:right w:val="single" w:color="auto" w:sz="6" w:space="0"/>
            </w:tcBorders>
          </w:tcPr>
          <w:p w14:paraId="63AFAC2B">
            <w:pPr>
              <w:autoSpaceDE w:val="0"/>
              <w:autoSpaceDN w:val="0"/>
              <w:adjustRightInd w:val="0"/>
              <w:spacing w:line="480" w:lineRule="exact"/>
              <w:rPr>
                <w:rFonts w:ascii="宋体" w:hAnsi="宋体"/>
                <w:b/>
                <w:bCs/>
                <w:szCs w:val="21"/>
              </w:rPr>
            </w:pPr>
          </w:p>
        </w:tc>
        <w:tc>
          <w:tcPr>
            <w:tcW w:w="1560" w:type="dxa"/>
            <w:tcBorders>
              <w:top w:val="single" w:color="auto" w:sz="6" w:space="0"/>
              <w:left w:val="single" w:color="auto" w:sz="6" w:space="0"/>
              <w:bottom w:val="single" w:color="auto" w:sz="6" w:space="0"/>
              <w:right w:val="single" w:color="auto" w:sz="6" w:space="0"/>
            </w:tcBorders>
          </w:tcPr>
          <w:p w14:paraId="4870A3D1">
            <w:pPr>
              <w:autoSpaceDE w:val="0"/>
              <w:autoSpaceDN w:val="0"/>
              <w:adjustRightInd w:val="0"/>
              <w:spacing w:line="480" w:lineRule="exact"/>
              <w:rPr>
                <w:rFonts w:ascii="宋体" w:hAnsi="宋体"/>
                <w:b/>
                <w:bCs/>
                <w:szCs w:val="21"/>
              </w:rPr>
            </w:pPr>
          </w:p>
        </w:tc>
        <w:tc>
          <w:tcPr>
            <w:tcW w:w="1417" w:type="dxa"/>
            <w:tcBorders>
              <w:top w:val="single" w:color="auto" w:sz="6" w:space="0"/>
              <w:left w:val="single" w:color="auto" w:sz="6" w:space="0"/>
              <w:bottom w:val="single" w:color="auto" w:sz="6" w:space="0"/>
              <w:right w:val="single" w:color="auto" w:sz="6" w:space="0"/>
            </w:tcBorders>
            <w:vAlign w:val="center"/>
          </w:tcPr>
          <w:p w14:paraId="5321A234">
            <w:pPr>
              <w:autoSpaceDE w:val="0"/>
              <w:autoSpaceDN w:val="0"/>
              <w:adjustRightInd w:val="0"/>
              <w:spacing w:line="480" w:lineRule="exact"/>
              <w:jc w:val="center"/>
              <w:rPr>
                <w:rFonts w:ascii="宋体" w:hAnsi="宋体"/>
                <w:b/>
                <w:bCs/>
                <w:szCs w:val="21"/>
              </w:rPr>
            </w:pPr>
          </w:p>
        </w:tc>
      </w:tr>
      <w:tr w14:paraId="730C38AE">
        <w:tblPrEx>
          <w:tblCellMar>
            <w:top w:w="0" w:type="dxa"/>
            <w:left w:w="108" w:type="dxa"/>
            <w:bottom w:w="0" w:type="dxa"/>
            <w:right w:w="108" w:type="dxa"/>
          </w:tblCellMar>
        </w:tblPrEx>
        <w:trPr>
          <w:trHeight w:val="851" w:hRule="atLeast"/>
        </w:trPr>
        <w:tc>
          <w:tcPr>
            <w:tcW w:w="675" w:type="dxa"/>
            <w:tcBorders>
              <w:top w:val="single" w:color="auto" w:sz="6" w:space="0"/>
              <w:left w:val="single" w:color="auto" w:sz="6" w:space="0"/>
              <w:bottom w:val="single" w:color="auto" w:sz="6" w:space="0"/>
              <w:right w:val="single" w:color="auto" w:sz="6" w:space="0"/>
            </w:tcBorders>
            <w:vAlign w:val="center"/>
          </w:tcPr>
          <w:p w14:paraId="0A76739F">
            <w:pPr>
              <w:autoSpaceDE w:val="0"/>
              <w:autoSpaceDN w:val="0"/>
              <w:adjustRightInd w:val="0"/>
              <w:spacing w:line="480" w:lineRule="exact"/>
              <w:jc w:val="center"/>
              <w:rPr>
                <w:rFonts w:ascii="宋体" w:hAnsi="宋体"/>
                <w:bCs/>
                <w:szCs w:val="21"/>
              </w:rPr>
            </w:pPr>
            <w:r>
              <w:rPr>
                <w:rFonts w:hint="eastAsia" w:ascii="宋体" w:hAnsi="宋体"/>
                <w:szCs w:val="21"/>
              </w:rPr>
              <w:t>…</w:t>
            </w:r>
          </w:p>
        </w:tc>
        <w:tc>
          <w:tcPr>
            <w:tcW w:w="1418" w:type="dxa"/>
            <w:tcBorders>
              <w:top w:val="single" w:color="auto" w:sz="6" w:space="0"/>
              <w:left w:val="single" w:color="auto" w:sz="6" w:space="0"/>
              <w:bottom w:val="single" w:color="auto" w:sz="6" w:space="0"/>
              <w:right w:val="single" w:color="auto" w:sz="6" w:space="0"/>
            </w:tcBorders>
          </w:tcPr>
          <w:p w14:paraId="314AB77A">
            <w:pPr>
              <w:autoSpaceDE w:val="0"/>
              <w:autoSpaceDN w:val="0"/>
              <w:adjustRightInd w:val="0"/>
              <w:spacing w:line="480" w:lineRule="exact"/>
              <w:rPr>
                <w:rFonts w:ascii="宋体" w:hAnsi="宋体"/>
                <w:b/>
                <w:bCs/>
                <w:szCs w:val="21"/>
              </w:rPr>
            </w:pPr>
          </w:p>
        </w:tc>
        <w:tc>
          <w:tcPr>
            <w:tcW w:w="1276" w:type="dxa"/>
            <w:tcBorders>
              <w:top w:val="single" w:color="auto" w:sz="6" w:space="0"/>
              <w:left w:val="single" w:color="auto" w:sz="6" w:space="0"/>
              <w:bottom w:val="single" w:color="auto" w:sz="6" w:space="0"/>
              <w:right w:val="single" w:color="auto" w:sz="6" w:space="0"/>
            </w:tcBorders>
          </w:tcPr>
          <w:p w14:paraId="2AD9071E">
            <w:pPr>
              <w:autoSpaceDE w:val="0"/>
              <w:autoSpaceDN w:val="0"/>
              <w:adjustRightInd w:val="0"/>
              <w:spacing w:line="480" w:lineRule="exact"/>
              <w:rPr>
                <w:rFonts w:ascii="宋体" w:hAnsi="宋体"/>
                <w:b/>
                <w:bCs/>
                <w:szCs w:val="21"/>
              </w:rPr>
            </w:pPr>
          </w:p>
        </w:tc>
        <w:tc>
          <w:tcPr>
            <w:tcW w:w="1559" w:type="dxa"/>
            <w:tcBorders>
              <w:top w:val="single" w:color="auto" w:sz="6" w:space="0"/>
              <w:left w:val="single" w:color="auto" w:sz="6" w:space="0"/>
              <w:bottom w:val="single" w:color="auto" w:sz="6" w:space="0"/>
              <w:right w:val="single" w:color="auto" w:sz="6" w:space="0"/>
            </w:tcBorders>
          </w:tcPr>
          <w:p w14:paraId="4A9E52C0">
            <w:pPr>
              <w:autoSpaceDE w:val="0"/>
              <w:autoSpaceDN w:val="0"/>
              <w:adjustRightInd w:val="0"/>
              <w:spacing w:line="480" w:lineRule="exact"/>
              <w:rPr>
                <w:rFonts w:ascii="宋体" w:hAnsi="宋体"/>
                <w:b/>
                <w:bCs/>
                <w:szCs w:val="21"/>
              </w:rPr>
            </w:pPr>
          </w:p>
        </w:tc>
        <w:tc>
          <w:tcPr>
            <w:tcW w:w="1417" w:type="dxa"/>
            <w:tcBorders>
              <w:top w:val="single" w:color="auto" w:sz="6" w:space="0"/>
              <w:left w:val="single" w:color="auto" w:sz="6" w:space="0"/>
              <w:bottom w:val="single" w:color="auto" w:sz="6" w:space="0"/>
              <w:right w:val="single" w:color="auto" w:sz="6" w:space="0"/>
            </w:tcBorders>
          </w:tcPr>
          <w:p w14:paraId="7357253A">
            <w:pPr>
              <w:autoSpaceDE w:val="0"/>
              <w:autoSpaceDN w:val="0"/>
              <w:adjustRightInd w:val="0"/>
              <w:spacing w:line="480" w:lineRule="exact"/>
              <w:rPr>
                <w:rFonts w:ascii="宋体" w:hAnsi="宋体"/>
                <w:b/>
                <w:bCs/>
                <w:szCs w:val="21"/>
              </w:rPr>
            </w:pPr>
          </w:p>
        </w:tc>
        <w:tc>
          <w:tcPr>
            <w:tcW w:w="1560" w:type="dxa"/>
            <w:tcBorders>
              <w:top w:val="single" w:color="auto" w:sz="6" w:space="0"/>
              <w:left w:val="single" w:color="auto" w:sz="6" w:space="0"/>
              <w:bottom w:val="single" w:color="auto" w:sz="6" w:space="0"/>
              <w:right w:val="single" w:color="auto" w:sz="6" w:space="0"/>
            </w:tcBorders>
          </w:tcPr>
          <w:p w14:paraId="692897FC">
            <w:pPr>
              <w:autoSpaceDE w:val="0"/>
              <w:autoSpaceDN w:val="0"/>
              <w:adjustRightInd w:val="0"/>
              <w:spacing w:line="480" w:lineRule="exact"/>
              <w:rPr>
                <w:rFonts w:ascii="宋体" w:hAnsi="宋体"/>
                <w:b/>
                <w:bCs/>
                <w:szCs w:val="21"/>
              </w:rPr>
            </w:pPr>
          </w:p>
        </w:tc>
        <w:tc>
          <w:tcPr>
            <w:tcW w:w="1417" w:type="dxa"/>
            <w:tcBorders>
              <w:top w:val="single" w:color="auto" w:sz="6" w:space="0"/>
              <w:left w:val="single" w:color="auto" w:sz="6" w:space="0"/>
              <w:bottom w:val="single" w:color="auto" w:sz="6" w:space="0"/>
              <w:right w:val="single" w:color="auto" w:sz="6" w:space="0"/>
            </w:tcBorders>
            <w:vAlign w:val="center"/>
          </w:tcPr>
          <w:p w14:paraId="0744CD59">
            <w:pPr>
              <w:autoSpaceDE w:val="0"/>
              <w:autoSpaceDN w:val="0"/>
              <w:adjustRightInd w:val="0"/>
              <w:spacing w:line="480" w:lineRule="exact"/>
              <w:jc w:val="center"/>
              <w:rPr>
                <w:rFonts w:ascii="宋体" w:hAnsi="宋体"/>
                <w:b/>
                <w:bCs/>
                <w:szCs w:val="21"/>
              </w:rPr>
            </w:pPr>
          </w:p>
        </w:tc>
      </w:tr>
    </w:tbl>
    <w:p w14:paraId="60821780">
      <w:pPr>
        <w:autoSpaceDE w:val="0"/>
        <w:autoSpaceDN w:val="0"/>
        <w:adjustRightInd w:val="0"/>
        <w:spacing w:line="480" w:lineRule="auto"/>
        <w:rPr>
          <w:rFonts w:ascii="宋体" w:hAnsi="宋体"/>
          <w:szCs w:val="21"/>
          <w:lang w:val="zh-CN"/>
        </w:rPr>
      </w:pPr>
    </w:p>
    <w:p w14:paraId="580F6243">
      <w:pPr>
        <w:autoSpaceDE w:val="0"/>
        <w:autoSpaceDN w:val="0"/>
        <w:adjustRightInd w:val="0"/>
        <w:spacing w:line="480" w:lineRule="auto"/>
        <w:rPr>
          <w:rFonts w:ascii="宋体" w:hAnsi="宋体"/>
          <w:szCs w:val="21"/>
          <w:lang w:val="zh-CN"/>
        </w:rPr>
      </w:pPr>
      <w:r>
        <w:rPr>
          <w:rFonts w:hint="eastAsia" w:ascii="宋体" w:hAnsi="宋体"/>
          <w:szCs w:val="21"/>
          <w:lang w:val="zh-CN"/>
        </w:rPr>
        <w:t>供应商（公章）：</w:t>
      </w:r>
    </w:p>
    <w:p w14:paraId="772C8578">
      <w:pPr>
        <w:autoSpaceDE w:val="0"/>
        <w:autoSpaceDN w:val="0"/>
        <w:adjustRightInd w:val="0"/>
        <w:spacing w:line="480" w:lineRule="auto"/>
        <w:rPr>
          <w:rFonts w:ascii="宋体" w:hAnsi="宋体"/>
          <w:szCs w:val="21"/>
          <w:lang w:val="zh-CN"/>
        </w:rPr>
      </w:pPr>
    </w:p>
    <w:p w14:paraId="617C292C">
      <w:pPr>
        <w:autoSpaceDE w:val="0"/>
        <w:autoSpaceDN w:val="0"/>
        <w:adjustRightInd w:val="0"/>
        <w:spacing w:line="480" w:lineRule="auto"/>
        <w:rPr>
          <w:rFonts w:ascii="宋体" w:hAnsi="宋体"/>
          <w:szCs w:val="21"/>
          <w:lang w:val="zh-CN"/>
        </w:rPr>
      </w:pPr>
    </w:p>
    <w:p w14:paraId="7F916AAD">
      <w:pPr>
        <w:autoSpaceDE w:val="0"/>
        <w:autoSpaceDN w:val="0"/>
        <w:adjustRightInd w:val="0"/>
        <w:spacing w:line="360" w:lineRule="auto"/>
        <w:jc w:val="center"/>
        <w:outlineLvl w:val="9"/>
        <w:rPr>
          <w:rFonts w:ascii="宋体" w:hAnsi="宋体"/>
          <w:b/>
          <w:bCs/>
          <w:color w:val="000000"/>
          <w:sz w:val="24"/>
          <w:szCs w:val="24"/>
        </w:rPr>
      </w:pPr>
    </w:p>
    <w:p w14:paraId="3DBA3AF9">
      <w:pPr>
        <w:autoSpaceDE w:val="0"/>
        <w:autoSpaceDN w:val="0"/>
        <w:adjustRightInd w:val="0"/>
        <w:spacing w:line="360" w:lineRule="auto"/>
        <w:outlineLvl w:val="0"/>
        <w:rPr>
          <w:rFonts w:ascii="宋体" w:hAnsi="宋体"/>
          <w:b/>
          <w:bCs/>
          <w:color w:val="auto"/>
          <w:sz w:val="24"/>
          <w:szCs w:val="24"/>
          <w:highlight w:val="none"/>
        </w:rPr>
      </w:pPr>
    </w:p>
    <w:p w14:paraId="16A0B579">
      <w:pPr>
        <w:rPr>
          <w:rFonts w:ascii="宋体" w:hAnsi="宋体"/>
          <w:b/>
          <w:bCs/>
          <w:color w:val="auto"/>
          <w:sz w:val="24"/>
          <w:szCs w:val="24"/>
          <w:highlight w:val="none"/>
        </w:rPr>
      </w:pPr>
    </w:p>
    <w:p w14:paraId="4AA1EAC3">
      <w:pPr>
        <w:jc w:val="center"/>
        <w:rPr>
          <w:rFonts w:ascii="宋体" w:hAnsi="宋体"/>
          <w:b/>
          <w:bCs/>
          <w:color w:val="auto"/>
          <w:sz w:val="24"/>
          <w:szCs w:val="24"/>
          <w:highlight w:val="none"/>
        </w:rPr>
      </w:pPr>
    </w:p>
    <w:p w14:paraId="54AD3D9F">
      <w:pPr>
        <w:jc w:val="center"/>
        <w:rPr>
          <w:rFonts w:ascii="宋体" w:hAnsi="宋体"/>
          <w:b/>
          <w:bCs/>
          <w:color w:val="auto"/>
          <w:sz w:val="24"/>
          <w:szCs w:val="24"/>
          <w:highlight w:val="none"/>
        </w:rPr>
      </w:pPr>
    </w:p>
    <w:p w14:paraId="57B0BF83">
      <w:pPr>
        <w:jc w:val="center"/>
        <w:rPr>
          <w:rFonts w:hAnsi="宋体"/>
          <w:b/>
          <w:snapToGrid w:val="0"/>
          <w:color w:val="auto"/>
          <w:kern w:val="0"/>
          <w:sz w:val="36"/>
          <w:szCs w:val="36"/>
          <w:highlight w:val="none"/>
        </w:rPr>
      </w:pPr>
      <w:r>
        <w:rPr>
          <w:rFonts w:hint="eastAsia" w:ascii="宋体" w:hAnsi="宋体"/>
          <w:b/>
          <w:bCs/>
          <w:color w:val="auto"/>
          <w:sz w:val="24"/>
          <w:szCs w:val="24"/>
          <w:highlight w:val="none"/>
        </w:rPr>
        <w:t>4.</w:t>
      </w:r>
      <w:r>
        <w:rPr>
          <w:rFonts w:hint="eastAsia" w:ascii="宋体" w:hAnsi="宋体"/>
          <w:b/>
          <w:bCs/>
          <w:color w:val="auto"/>
          <w:sz w:val="24"/>
          <w:szCs w:val="24"/>
          <w:highlight w:val="none"/>
          <w:lang w:val="en-US" w:eastAsia="zh-CN"/>
        </w:rPr>
        <w:t>3</w:t>
      </w:r>
      <w:r>
        <w:rPr>
          <w:rFonts w:hint="eastAsia" w:ascii="宋体" w:hAnsi="宋体"/>
          <w:b/>
          <w:bCs/>
          <w:color w:val="auto"/>
          <w:sz w:val="24"/>
          <w:szCs w:val="24"/>
          <w:highlight w:val="none"/>
        </w:rPr>
        <w:t xml:space="preserve"> 技术方案（实施方案）</w:t>
      </w:r>
    </w:p>
    <w:p w14:paraId="66CC4646">
      <w:pPr>
        <w:autoSpaceDE w:val="0"/>
        <w:autoSpaceDN w:val="0"/>
        <w:adjustRightInd w:val="0"/>
        <w:spacing w:line="360" w:lineRule="auto"/>
        <w:jc w:val="center"/>
        <w:rPr>
          <w:rFonts w:ascii="宋体" w:hAnsi="宋体"/>
          <w:color w:val="auto"/>
          <w:szCs w:val="21"/>
          <w:highlight w:val="none"/>
          <w:lang w:val="zh-CN"/>
        </w:rPr>
      </w:pPr>
      <w:r>
        <w:rPr>
          <w:rFonts w:hint="eastAsia" w:ascii="宋体" w:hAnsi="宋体"/>
          <w:color w:val="auto"/>
          <w:szCs w:val="21"/>
          <w:highlight w:val="none"/>
          <w:lang w:val="zh-CN"/>
        </w:rPr>
        <w:t>（供应商根据磋商文件要求自行编制）</w:t>
      </w:r>
    </w:p>
    <w:p w14:paraId="45BD3F6E">
      <w:pPr>
        <w:autoSpaceDE w:val="0"/>
        <w:autoSpaceDN w:val="0"/>
        <w:adjustRightInd w:val="0"/>
        <w:spacing w:line="360" w:lineRule="auto"/>
        <w:jc w:val="center"/>
        <w:outlineLvl w:val="0"/>
        <w:rPr>
          <w:rFonts w:ascii="宋体" w:hAnsi="宋体"/>
          <w:b/>
          <w:bCs/>
          <w:color w:val="auto"/>
          <w:sz w:val="24"/>
          <w:szCs w:val="24"/>
          <w:highlight w:val="none"/>
        </w:rPr>
      </w:pPr>
    </w:p>
    <w:p w14:paraId="3C779E57">
      <w:pPr>
        <w:autoSpaceDE w:val="0"/>
        <w:autoSpaceDN w:val="0"/>
        <w:adjustRightInd w:val="0"/>
        <w:spacing w:line="360" w:lineRule="auto"/>
        <w:outlineLvl w:val="0"/>
        <w:rPr>
          <w:rFonts w:ascii="宋体" w:hAnsi="宋体"/>
          <w:b/>
          <w:bCs/>
          <w:color w:val="auto"/>
          <w:sz w:val="24"/>
          <w:szCs w:val="24"/>
          <w:highlight w:val="none"/>
        </w:rPr>
      </w:pPr>
    </w:p>
    <w:p w14:paraId="2C2B536A">
      <w:pPr>
        <w:autoSpaceDE w:val="0"/>
        <w:autoSpaceDN w:val="0"/>
        <w:adjustRightInd w:val="0"/>
        <w:spacing w:line="360" w:lineRule="auto"/>
        <w:jc w:val="center"/>
        <w:outlineLvl w:val="0"/>
        <w:rPr>
          <w:rFonts w:ascii="宋体" w:hAnsi="宋体"/>
          <w:b/>
          <w:bCs/>
          <w:color w:val="auto"/>
          <w:sz w:val="24"/>
          <w:szCs w:val="24"/>
          <w:highlight w:val="none"/>
        </w:rPr>
      </w:pPr>
    </w:p>
    <w:p w14:paraId="52AFD89A">
      <w:pPr>
        <w:pStyle w:val="4"/>
        <w:numPr>
          <w:ilvl w:val="1"/>
          <w:numId w:val="0"/>
        </w:numPr>
        <w:tabs>
          <w:tab w:val="left" w:pos="840"/>
        </w:tabs>
        <w:spacing w:line="360" w:lineRule="auto"/>
        <w:jc w:val="both"/>
        <w:rPr>
          <w:rFonts w:hint="eastAsia" w:ascii="宋体" w:hAnsi="宋体" w:eastAsia="宋体" w:cs="宋体"/>
          <w:color w:val="auto"/>
          <w:kern w:val="2"/>
          <w:sz w:val="24"/>
          <w:szCs w:val="24"/>
          <w:highlight w:val="none"/>
        </w:rPr>
      </w:pPr>
      <w:bookmarkStart w:id="30" w:name="_Toc20480"/>
    </w:p>
    <w:bookmarkEnd w:id="30"/>
    <w:p w14:paraId="0E506844">
      <w:pPr>
        <w:pStyle w:val="78"/>
        <w:spacing w:before="156" w:after="156"/>
        <w:rPr>
          <w:color w:val="auto"/>
          <w:highlight w:val="none"/>
          <w:lang w:val="en-US" w:eastAsia="zh-CN"/>
        </w:rPr>
      </w:pPr>
      <w:r>
        <w:rPr>
          <w:rFonts w:hint="eastAsia"/>
          <w:color w:val="auto"/>
          <w:highlight w:val="none"/>
          <w:lang w:val="en-US" w:eastAsia="zh-CN"/>
        </w:rPr>
        <w:t xml:space="preserve"> </w:t>
      </w:r>
      <w:r>
        <w:rPr>
          <w:color w:val="auto"/>
          <w:highlight w:val="none"/>
          <w:lang w:val="en-US" w:eastAsia="zh-CN"/>
        </w:rPr>
        <w:t>4.</w:t>
      </w:r>
      <w:r>
        <w:rPr>
          <w:rFonts w:hint="eastAsia"/>
          <w:color w:val="auto"/>
          <w:highlight w:val="none"/>
          <w:lang w:val="en-US" w:eastAsia="zh-CN"/>
        </w:rPr>
        <w:t>4</w:t>
      </w:r>
      <w:r>
        <w:rPr>
          <w:color w:val="auto"/>
          <w:highlight w:val="none"/>
          <w:lang w:val="en-US" w:eastAsia="zh-CN"/>
        </w:rPr>
        <w:t>业绩情况表</w:t>
      </w:r>
    </w:p>
    <w:p w14:paraId="299870FD">
      <w:pPr>
        <w:spacing w:before="50" w:after="156" w:afterLines="50" w:line="360" w:lineRule="auto"/>
        <w:contextualSpacing/>
        <w:jc w:val="left"/>
        <w:rPr>
          <w:rFonts w:ascii="宋体" w:hAnsi="宋体"/>
          <w:color w:val="auto"/>
          <w:szCs w:val="21"/>
          <w:highlight w:val="none"/>
        </w:rPr>
      </w:pPr>
      <w:r>
        <w:rPr>
          <w:rFonts w:hint="eastAsia" w:ascii="宋体" w:hAnsi="宋体"/>
          <w:color w:val="auto"/>
          <w:szCs w:val="21"/>
          <w:highlight w:val="none"/>
        </w:rPr>
        <w:t>项目编号：</w:t>
      </w:r>
    </w:p>
    <w:p w14:paraId="07C52C45">
      <w:pPr>
        <w:snapToGrid w:val="0"/>
        <w:spacing w:line="360" w:lineRule="auto"/>
        <w:rPr>
          <w:rFonts w:ascii="宋体" w:hAnsi="宋体"/>
          <w:color w:val="auto"/>
          <w:szCs w:val="21"/>
          <w:highlight w:val="none"/>
        </w:rPr>
      </w:pPr>
      <w:r>
        <w:rPr>
          <w:rFonts w:hint="eastAsia" w:ascii="宋体" w:hAnsi="宋体"/>
          <w:color w:val="auto"/>
          <w:szCs w:val="21"/>
          <w:highlight w:val="none"/>
        </w:rPr>
        <w:t xml:space="preserve">项目名称：   </w:t>
      </w:r>
    </w:p>
    <w:tbl>
      <w:tblPr>
        <w:tblStyle w:val="31"/>
        <w:tblW w:w="92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808"/>
        <w:gridCol w:w="3579"/>
        <w:gridCol w:w="1440"/>
        <w:gridCol w:w="1706"/>
      </w:tblGrid>
      <w:tr w14:paraId="78AF5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12" w:type="dxa"/>
            <w:shd w:val="clear" w:color="auto" w:fill="F3F3F3"/>
            <w:vAlign w:val="center"/>
          </w:tcPr>
          <w:p w14:paraId="5FD9FA6B">
            <w:pPr>
              <w:pStyle w:val="8"/>
              <w:jc w:val="center"/>
              <w:rPr>
                <w:rFonts w:ascii="宋体" w:hAnsi="宋体" w:eastAsia="宋体" w:cs="Times New Roman"/>
                <w:b/>
                <w:bCs/>
                <w:color w:val="auto"/>
                <w:sz w:val="21"/>
                <w:szCs w:val="21"/>
                <w:highlight w:val="none"/>
              </w:rPr>
            </w:pPr>
            <w:r>
              <w:rPr>
                <w:rFonts w:hint="eastAsia" w:ascii="宋体" w:hAnsi="宋体" w:eastAsia="宋体" w:cs="宋体"/>
                <w:b/>
                <w:bCs/>
                <w:color w:val="auto"/>
                <w:sz w:val="21"/>
                <w:szCs w:val="21"/>
                <w:highlight w:val="none"/>
              </w:rPr>
              <w:t>序号</w:t>
            </w:r>
          </w:p>
        </w:tc>
        <w:tc>
          <w:tcPr>
            <w:tcW w:w="1808" w:type="dxa"/>
            <w:shd w:val="clear" w:color="auto" w:fill="F3F3F3"/>
            <w:vAlign w:val="center"/>
          </w:tcPr>
          <w:p w14:paraId="724FA18D">
            <w:pPr>
              <w:pStyle w:val="8"/>
              <w:jc w:val="center"/>
              <w:rPr>
                <w:rFonts w:ascii="宋体" w:hAnsi="宋体" w:eastAsia="宋体" w:cs="Times New Roman"/>
                <w:b/>
                <w:bCs/>
                <w:color w:val="auto"/>
                <w:sz w:val="21"/>
                <w:szCs w:val="21"/>
                <w:highlight w:val="none"/>
              </w:rPr>
            </w:pPr>
            <w:r>
              <w:rPr>
                <w:rFonts w:hint="eastAsia" w:ascii="宋体" w:hAnsi="宋体" w:eastAsia="宋体" w:cs="宋体"/>
                <w:b/>
                <w:bCs/>
                <w:color w:val="auto"/>
                <w:sz w:val="21"/>
                <w:szCs w:val="21"/>
                <w:highlight w:val="none"/>
              </w:rPr>
              <w:t>客户单位名称</w:t>
            </w:r>
          </w:p>
        </w:tc>
        <w:tc>
          <w:tcPr>
            <w:tcW w:w="3579" w:type="dxa"/>
            <w:shd w:val="clear" w:color="auto" w:fill="F3F3F3"/>
            <w:vAlign w:val="center"/>
          </w:tcPr>
          <w:p w14:paraId="097CB176">
            <w:pPr>
              <w:pStyle w:val="8"/>
              <w:jc w:val="center"/>
              <w:rPr>
                <w:rFonts w:ascii="宋体" w:hAnsi="宋体" w:eastAsia="宋体" w:cs="Times New Roman"/>
                <w:b/>
                <w:bCs/>
                <w:color w:val="auto"/>
                <w:sz w:val="21"/>
                <w:szCs w:val="21"/>
                <w:highlight w:val="none"/>
              </w:rPr>
            </w:pPr>
            <w:r>
              <w:rPr>
                <w:rFonts w:hint="eastAsia" w:ascii="宋体" w:hAnsi="宋体" w:eastAsia="宋体" w:cs="宋体"/>
                <w:b/>
                <w:bCs/>
                <w:color w:val="auto"/>
                <w:sz w:val="21"/>
                <w:szCs w:val="21"/>
                <w:highlight w:val="none"/>
              </w:rPr>
              <w:t>项目名称及主要内容</w:t>
            </w:r>
          </w:p>
        </w:tc>
        <w:tc>
          <w:tcPr>
            <w:tcW w:w="1440" w:type="dxa"/>
            <w:shd w:val="clear" w:color="auto" w:fill="F3F3F3"/>
            <w:vAlign w:val="center"/>
          </w:tcPr>
          <w:p w14:paraId="05D0A19A">
            <w:pPr>
              <w:pStyle w:val="8"/>
              <w:jc w:val="center"/>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合同金额</w:t>
            </w:r>
          </w:p>
          <w:p w14:paraId="7FE3D1B7">
            <w:pPr>
              <w:pStyle w:val="8"/>
              <w:jc w:val="center"/>
              <w:rPr>
                <w:rFonts w:ascii="宋体" w:hAnsi="宋体" w:eastAsia="宋体" w:cs="Times New Roman"/>
                <w:b/>
                <w:bCs/>
                <w:color w:val="auto"/>
                <w:sz w:val="21"/>
                <w:szCs w:val="21"/>
                <w:highlight w:val="none"/>
              </w:rPr>
            </w:pPr>
            <w:r>
              <w:rPr>
                <w:rFonts w:hint="eastAsia" w:ascii="宋体" w:hAnsi="宋体" w:eastAsia="宋体" w:cs="宋体"/>
                <w:b/>
                <w:bCs/>
                <w:color w:val="auto"/>
                <w:sz w:val="21"/>
                <w:szCs w:val="21"/>
                <w:highlight w:val="none"/>
              </w:rPr>
              <w:t>（万元）</w:t>
            </w:r>
          </w:p>
        </w:tc>
        <w:tc>
          <w:tcPr>
            <w:tcW w:w="1706" w:type="dxa"/>
            <w:shd w:val="clear" w:color="auto" w:fill="F3F3F3"/>
            <w:vAlign w:val="center"/>
          </w:tcPr>
          <w:p w14:paraId="1C2C6AA5">
            <w:pPr>
              <w:pStyle w:val="8"/>
              <w:jc w:val="center"/>
              <w:rPr>
                <w:rFonts w:ascii="宋体" w:hAnsi="宋体" w:eastAsia="宋体" w:cs="Times New Roman"/>
                <w:b/>
                <w:bCs/>
                <w:color w:val="auto"/>
                <w:sz w:val="21"/>
                <w:szCs w:val="21"/>
                <w:highlight w:val="none"/>
              </w:rPr>
            </w:pPr>
            <w:r>
              <w:rPr>
                <w:rFonts w:hint="eastAsia" w:ascii="宋体" w:hAnsi="宋体" w:eastAsia="宋体" w:cs="宋体"/>
                <w:b/>
                <w:bCs/>
                <w:color w:val="auto"/>
                <w:sz w:val="21"/>
                <w:szCs w:val="21"/>
                <w:highlight w:val="none"/>
              </w:rPr>
              <w:t>联系人及电话</w:t>
            </w:r>
          </w:p>
        </w:tc>
      </w:tr>
      <w:tr w14:paraId="7495C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29E6D571">
            <w:pPr>
              <w:pStyle w:val="8"/>
              <w:spacing w:line="360" w:lineRule="auto"/>
              <w:jc w:val="center"/>
              <w:rPr>
                <w:rFonts w:ascii="宋体" w:hAnsi="宋体" w:eastAsia="宋体" w:cs="宋体"/>
                <w:color w:val="auto"/>
                <w:sz w:val="21"/>
                <w:szCs w:val="21"/>
                <w:highlight w:val="none"/>
              </w:rPr>
            </w:pPr>
            <w:r>
              <w:rPr>
                <w:rFonts w:ascii="宋体" w:hAnsi="宋体" w:eastAsia="宋体" w:cs="宋体"/>
                <w:color w:val="auto"/>
                <w:sz w:val="21"/>
                <w:szCs w:val="21"/>
                <w:highlight w:val="none"/>
              </w:rPr>
              <w:t>1</w:t>
            </w:r>
          </w:p>
        </w:tc>
        <w:tc>
          <w:tcPr>
            <w:tcW w:w="1808" w:type="dxa"/>
            <w:vAlign w:val="center"/>
          </w:tcPr>
          <w:p w14:paraId="3E81B8EF">
            <w:pPr>
              <w:pStyle w:val="8"/>
              <w:spacing w:line="360" w:lineRule="auto"/>
              <w:rPr>
                <w:rFonts w:ascii="宋体" w:hAnsi="宋体" w:eastAsia="宋体" w:cs="Times New Roman"/>
                <w:color w:val="auto"/>
                <w:sz w:val="21"/>
                <w:szCs w:val="21"/>
                <w:highlight w:val="none"/>
              </w:rPr>
            </w:pPr>
          </w:p>
        </w:tc>
        <w:tc>
          <w:tcPr>
            <w:tcW w:w="3579" w:type="dxa"/>
            <w:vAlign w:val="center"/>
          </w:tcPr>
          <w:p w14:paraId="05673C98">
            <w:pPr>
              <w:pStyle w:val="8"/>
              <w:spacing w:line="360" w:lineRule="auto"/>
              <w:rPr>
                <w:rFonts w:ascii="宋体" w:hAnsi="宋体" w:eastAsia="宋体" w:cs="Times New Roman"/>
                <w:color w:val="auto"/>
                <w:sz w:val="21"/>
                <w:szCs w:val="21"/>
                <w:highlight w:val="none"/>
              </w:rPr>
            </w:pPr>
          </w:p>
        </w:tc>
        <w:tc>
          <w:tcPr>
            <w:tcW w:w="1440" w:type="dxa"/>
            <w:vAlign w:val="center"/>
          </w:tcPr>
          <w:p w14:paraId="3568F176">
            <w:pPr>
              <w:pStyle w:val="8"/>
              <w:spacing w:line="360" w:lineRule="auto"/>
              <w:rPr>
                <w:rFonts w:ascii="宋体" w:hAnsi="宋体" w:eastAsia="宋体" w:cs="Times New Roman"/>
                <w:color w:val="auto"/>
                <w:sz w:val="21"/>
                <w:szCs w:val="21"/>
                <w:highlight w:val="none"/>
              </w:rPr>
            </w:pPr>
          </w:p>
        </w:tc>
        <w:tc>
          <w:tcPr>
            <w:tcW w:w="1706" w:type="dxa"/>
            <w:vAlign w:val="center"/>
          </w:tcPr>
          <w:p w14:paraId="724093DF">
            <w:pPr>
              <w:pStyle w:val="8"/>
              <w:spacing w:line="360" w:lineRule="auto"/>
              <w:rPr>
                <w:rFonts w:ascii="宋体" w:hAnsi="宋体" w:eastAsia="宋体" w:cs="Times New Roman"/>
                <w:color w:val="auto"/>
                <w:sz w:val="21"/>
                <w:szCs w:val="21"/>
                <w:highlight w:val="none"/>
              </w:rPr>
            </w:pPr>
          </w:p>
        </w:tc>
      </w:tr>
      <w:tr w14:paraId="3A895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35466B16">
            <w:pPr>
              <w:pStyle w:val="8"/>
              <w:spacing w:line="360" w:lineRule="auto"/>
              <w:jc w:val="center"/>
              <w:rPr>
                <w:rFonts w:ascii="宋体" w:hAnsi="宋体" w:eastAsia="宋体" w:cs="宋体"/>
                <w:color w:val="auto"/>
                <w:sz w:val="21"/>
                <w:szCs w:val="21"/>
                <w:highlight w:val="none"/>
              </w:rPr>
            </w:pPr>
            <w:r>
              <w:rPr>
                <w:rFonts w:ascii="宋体" w:hAnsi="宋体" w:eastAsia="宋体" w:cs="宋体"/>
                <w:color w:val="auto"/>
                <w:sz w:val="21"/>
                <w:szCs w:val="21"/>
                <w:highlight w:val="none"/>
              </w:rPr>
              <w:t>2</w:t>
            </w:r>
          </w:p>
        </w:tc>
        <w:tc>
          <w:tcPr>
            <w:tcW w:w="1808" w:type="dxa"/>
            <w:vAlign w:val="center"/>
          </w:tcPr>
          <w:p w14:paraId="07D81EC0">
            <w:pPr>
              <w:pStyle w:val="8"/>
              <w:spacing w:line="360" w:lineRule="auto"/>
              <w:rPr>
                <w:rFonts w:ascii="宋体" w:hAnsi="宋体" w:eastAsia="宋体" w:cs="Times New Roman"/>
                <w:color w:val="auto"/>
                <w:sz w:val="21"/>
                <w:szCs w:val="21"/>
                <w:highlight w:val="none"/>
              </w:rPr>
            </w:pPr>
          </w:p>
        </w:tc>
        <w:tc>
          <w:tcPr>
            <w:tcW w:w="3579" w:type="dxa"/>
            <w:vAlign w:val="center"/>
          </w:tcPr>
          <w:p w14:paraId="55403A2A">
            <w:pPr>
              <w:pStyle w:val="8"/>
              <w:spacing w:line="360" w:lineRule="auto"/>
              <w:rPr>
                <w:rFonts w:ascii="宋体" w:hAnsi="宋体" w:eastAsia="宋体" w:cs="Times New Roman"/>
                <w:color w:val="auto"/>
                <w:sz w:val="21"/>
                <w:szCs w:val="21"/>
                <w:highlight w:val="none"/>
              </w:rPr>
            </w:pPr>
          </w:p>
        </w:tc>
        <w:tc>
          <w:tcPr>
            <w:tcW w:w="1440" w:type="dxa"/>
            <w:vAlign w:val="center"/>
          </w:tcPr>
          <w:p w14:paraId="00FFC6DB">
            <w:pPr>
              <w:pStyle w:val="8"/>
              <w:spacing w:line="360" w:lineRule="auto"/>
              <w:rPr>
                <w:rFonts w:ascii="宋体" w:hAnsi="宋体" w:eastAsia="宋体" w:cs="Times New Roman"/>
                <w:color w:val="auto"/>
                <w:sz w:val="21"/>
                <w:szCs w:val="21"/>
                <w:highlight w:val="none"/>
              </w:rPr>
            </w:pPr>
          </w:p>
        </w:tc>
        <w:tc>
          <w:tcPr>
            <w:tcW w:w="1706" w:type="dxa"/>
            <w:vAlign w:val="center"/>
          </w:tcPr>
          <w:p w14:paraId="5DEA3F45">
            <w:pPr>
              <w:pStyle w:val="8"/>
              <w:spacing w:line="360" w:lineRule="auto"/>
              <w:rPr>
                <w:rFonts w:ascii="宋体" w:hAnsi="宋体" w:eastAsia="宋体" w:cs="Times New Roman"/>
                <w:color w:val="auto"/>
                <w:sz w:val="21"/>
                <w:szCs w:val="21"/>
                <w:highlight w:val="none"/>
              </w:rPr>
            </w:pPr>
          </w:p>
        </w:tc>
      </w:tr>
      <w:tr w14:paraId="38A53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273CF5C6">
            <w:pPr>
              <w:pStyle w:val="8"/>
              <w:spacing w:line="360" w:lineRule="auto"/>
              <w:jc w:val="center"/>
              <w:rPr>
                <w:rFonts w:ascii="宋体" w:hAnsi="宋体" w:eastAsia="宋体" w:cs="宋体"/>
                <w:color w:val="auto"/>
                <w:sz w:val="21"/>
                <w:szCs w:val="21"/>
                <w:highlight w:val="none"/>
              </w:rPr>
            </w:pPr>
            <w:r>
              <w:rPr>
                <w:rFonts w:ascii="宋体" w:hAnsi="宋体" w:eastAsia="宋体" w:cs="宋体"/>
                <w:color w:val="auto"/>
                <w:sz w:val="21"/>
                <w:szCs w:val="21"/>
                <w:highlight w:val="none"/>
              </w:rPr>
              <w:t>3</w:t>
            </w:r>
          </w:p>
        </w:tc>
        <w:tc>
          <w:tcPr>
            <w:tcW w:w="1808" w:type="dxa"/>
            <w:vAlign w:val="center"/>
          </w:tcPr>
          <w:p w14:paraId="0823894E">
            <w:pPr>
              <w:pStyle w:val="8"/>
              <w:spacing w:line="360" w:lineRule="auto"/>
              <w:rPr>
                <w:rFonts w:ascii="宋体" w:hAnsi="宋体" w:eastAsia="宋体" w:cs="Times New Roman"/>
                <w:color w:val="auto"/>
                <w:sz w:val="21"/>
                <w:szCs w:val="21"/>
                <w:highlight w:val="none"/>
              </w:rPr>
            </w:pPr>
          </w:p>
        </w:tc>
        <w:tc>
          <w:tcPr>
            <w:tcW w:w="3579" w:type="dxa"/>
            <w:vAlign w:val="center"/>
          </w:tcPr>
          <w:p w14:paraId="0F5EFF24">
            <w:pPr>
              <w:pStyle w:val="8"/>
              <w:spacing w:line="360" w:lineRule="auto"/>
              <w:rPr>
                <w:rFonts w:ascii="宋体" w:hAnsi="宋体" w:eastAsia="宋体" w:cs="Times New Roman"/>
                <w:color w:val="auto"/>
                <w:sz w:val="21"/>
                <w:szCs w:val="21"/>
                <w:highlight w:val="none"/>
              </w:rPr>
            </w:pPr>
          </w:p>
        </w:tc>
        <w:tc>
          <w:tcPr>
            <w:tcW w:w="1440" w:type="dxa"/>
            <w:vAlign w:val="center"/>
          </w:tcPr>
          <w:p w14:paraId="0B7EB317">
            <w:pPr>
              <w:pStyle w:val="8"/>
              <w:spacing w:line="360" w:lineRule="auto"/>
              <w:rPr>
                <w:rFonts w:ascii="宋体" w:hAnsi="宋体" w:eastAsia="宋体" w:cs="Times New Roman"/>
                <w:color w:val="auto"/>
                <w:sz w:val="21"/>
                <w:szCs w:val="21"/>
                <w:highlight w:val="none"/>
              </w:rPr>
            </w:pPr>
          </w:p>
        </w:tc>
        <w:tc>
          <w:tcPr>
            <w:tcW w:w="1706" w:type="dxa"/>
            <w:vAlign w:val="center"/>
          </w:tcPr>
          <w:p w14:paraId="78D1EA44">
            <w:pPr>
              <w:pStyle w:val="8"/>
              <w:spacing w:line="360" w:lineRule="auto"/>
              <w:rPr>
                <w:rFonts w:ascii="宋体" w:hAnsi="宋体" w:eastAsia="宋体" w:cs="Times New Roman"/>
                <w:color w:val="auto"/>
                <w:sz w:val="21"/>
                <w:szCs w:val="21"/>
                <w:highlight w:val="none"/>
              </w:rPr>
            </w:pPr>
          </w:p>
        </w:tc>
      </w:tr>
      <w:tr w14:paraId="5F8CD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00149990">
            <w:pPr>
              <w:pStyle w:val="8"/>
              <w:spacing w:line="360" w:lineRule="auto"/>
              <w:jc w:val="center"/>
              <w:rPr>
                <w:rFonts w:ascii="宋体" w:hAnsi="宋体" w:eastAsia="宋体" w:cs="宋体"/>
                <w:color w:val="auto"/>
                <w:sz w:val="21"/>
                <w:szCs w:val="21"/>
                <w:highlight w:val="none"/>
              </w:rPr>
            </w:pPr>
            <w:r>
              <w:rPr>
                <w:rFonts w:ascii="宋体" w:hAnsi="宋体" w:eastAsia="宋体" w:cs="宋体"/>
                <w:color w:val="auto"/>
                <w:sz w:val="21"/>
                <w:szCs w:val="21"/>
                <w:highlight w:val="none"/>
              </w:rPr>
              <w:t>4</w:t>
            </w:r>
          </w:p>
        </w:tc>
        <w:tc>
          <w:tcPr>
            <w:tcW w:w="1808" w:type="dxa"/>
            <w:vAlign w:val="center"/>
          </w:tcPr>
          <w:p w14:paraId="0942B5E4">
            <w:pPr>
              <w:rPr>
                <w:rFonts w:ascii="宋体"/>
                <w:color w:val="auto"/>
                <w:szCs w:val="21"/>
                <w:highlight w:val="none"/>
              </w:rPr>
            </w:pPr>
          </w:p>
        </w:tc>
        <w:tc>
          <w:tcPr>
            <w:tcW w:w="3579" w:type="dxa"/>
            <w:vAlign w:val="center"/>
          </w:tcPr>
          <w:p w14:paraId="117010F1">
            <w:pPr>
              <w:rPr>
                <w:rFonts w:ascii="宋体"/>
                <w:color w:val="auto"/>
                <w:szCs w:val="21"/>
                <w:highlight w:val="none"/>
              </w:rPr>
            </w:pPr>
          </w:p>
        </w:tc>
        <w:tc>
          <w:tcPr>
            <w:tcW w:w="1440" w:type="dxa"/>
            <w:vAlign w:val="center"/>
          </w:tcPr>
          <w:p w14:paraId="6BA99026">
            <w:pPr>
              <w:rPr>
                <w:rFonts w:ascii="宋体"/>
                <w:color w:val="auto"/>
                <w:szCs w:val="21"/>
                <w:highlight w:val="none"/>
              </w:rPr>
            </w:pPr>
          </w:p>
        </w:tc>
        <w:tc>
          <w:tcPr>
            <w:tcW w:w="1706" w:type="dxa"/>
            <w:vAlign w:val="center"/>
          </w:tcPr>
          <w:p w14:paraId="0480C313">
            <w:pPr>
              <w:rPr>
                <w:rFonts w:ascii="宋体"/>
                <w:color w:val="auto"/>
                <w:szCs w:val="21"/>
                <w:highlight w:val="none"/>
              </w:rPr>
            </w:pPr>
          </w:p>
        </w:tc>
      </w:tr>
      <w:tr w14:paraId="02D33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12" w:type="dxa"/>
            <w:vAlign w:val="center"/>
          </w:tcPr>
          <w:p w14:paraId="515EE0F1">
            <w:pPr>
              <w:pStyle w:val="8"/>
              <w:spacing w:line="360" w:lineRule="auto"/>
              <w:jc w:val="center"/>
              <w:rPr>
                <w:rFonts w:ascii="宋体" w:hAnsi="宋体" w:eastAsia="宋体" w:cs="Times New Roman"/>
                <w:color w:val="auto"/>
                <w:sz w:val="21"/>
                <w:szCs w:val="21"/>
                <w:highlight w:val="none"/>
              </w:rPr>
            </w:pPr>
            <w:r>
              <w:rPr>
                <w:rFonts w:hint="eastAsia" w:ascii="宋体" w:hAnsi="宋体" w:eastAsia="宋体" w:cs="宋体"/>
                <w:color w:val="auto"/>
                <w:sz w:val="21"/>
                <w:szCs w:val="21"/>
                <w:highlight w:val="none"/>
              </w:rPr>
              <w:t>……</w:t>
            </w:r>
          </w:p>
        </w:tc>
        <w:tc>
          <w:tcPr>
            <w:tcW w:w="1808" w:type="dxa"/>
            <w:vAlign w:val="center"/>
          </w:tcPr>
          <w:p w14:paraId="28F6DC34">
            <w:pPr>
              <w:rPr>
                <w:rFonts w:ascii="宋体"/>
                <w:color w:val="auto"/>
                <w:szCs w:val="21"/>
                <w:highlight w:val="none"/>
              </w:rPr>
            </w:pPr>
          </w:p>
        </w:tc>
        <w:tc>
          <w:tcPr>
            <w:tcW w:w="3579" w:type="dxa"/>
            <w:vAlign w:val="center"/>
          </w:tcPr>
          <w:p w14:paraId="60CF34E1">
            <w:pPr>
              <w:rPr>
                <w:rFonts w:ascii="宋体"/>
                <w:color w:val="auto"/>
                <w:szCs w:val="21"/>
                <w:highlight w:val="none"/>
              </w:rPr>
            </w:pPr>
          </w:p>
        </w:tc>
        <w:tc>
          <w:tcPr>
            <w:tcW w:w="1440" w:type="dxa"/>
            <w:vAlign w:val="center"/>
          </w:tcPr>
          <w:p w14:paraId="339FDE49">
            <w:pPr>
              <w:rPr>
                <w:rFonts w:ascii="宋体"/>
                <w:color w:val="auto"/>
                <w:szCs w:val="21"/>
                <w:highlight w:val="none"/>
              </w:rPr>
            </w:pPr>
          </w:p>
        </w:tc>
        <w:tc>
          <w:tcPr>
            <w:tcW w:w="1706" w:type="dxa"/>
            <w:vAlign w:val="center"/>
          </w:tcPr>
          <w:p w14:paraId="45329619">
            <w:pPr>
              <w:rPr>
                <w:rFonts w:ascii="宋体"/>
                <w:color w:val="auto"/>
                <w:szCs w:val="21"/>
                <w:highlight w:val="none"/>
              </w:rPr>
            </w:pPr>
          </w:p>
        </w:tc>
      </w:tr>
    </w:tbl>
    <w:p w14:paraId="39F643FB">
      <w:pPr>
        <w:autoSpaceDE w:val="0"/>
        <w:autoSpaceDN w:val="0"/>
        <w:adjustRightInd w:val="0"/>
        <w:spacing w:line="480" w:lineRule="auto"/>
        <w:rPr>
          <w:rFonts w:ascii="宋体" w:hAnsi="宋体"/>
          <w:color w:val="auto"/>
          <w:szCs w:val="21"/>
          <w:highlight w:val="none"/>
          <w:lang w:val="zh-CN"/>
        </w:rPr>
      </w:pPr>
    </w:p>
    <w:p w14:paraId="7FAF4214">
      <w:pPr>
        <w:autoSpaceDE w:val="0"/>
        <w:autoSpaceDN w:val="0"/>
        <w:adjustRightInd w:val="0"/>
        <w:spacing w:line="480" w:lineRule="auto"/>
        <w:rPr>
          <w:rFonts w:ascii="宋体" w:hAnsi="宋体"/>
          <w:color w:val="auto"/>
          <w:szCs w:val="21"/>
          <w:highlight w:val="none"/>
          <w:lang w:val="zh-CN"/>
        </w:rPr>
      </w:pPr>
      <w:r>
        <w:rPr>
          <w:rFonts w:hint="eastAsia" w:ascii="宋体" w:hAnsi="宋体"/>
          <w:color w:val="auto"/>
          <w:szCs w:val="21"/>
          <w:highlight w:val="none"/>
        </w:rPr>
        <w:t>投标人名称（并加盖公章）：</w:t>
      </w:r>
      <w:r>
        <w:rPr>
          <w:rFonts w:hint="eastAsia" w:ascii="宋体" w:hAnsi="宋体"/>
          <w:color w:val="auto"/>
          <w:szCs w:val="21"/>
          <w:highlight w:val="none"/>
          <w:u w:val="single"/>
        </w:rPr>
        <w:t xml:space="preserve">               </w:t>
      </w:r>
    </w:p>
    <w:p w14:paraId="680D8E53">
      <w:pPr>
        <w:autoSpaceDE w:val="0"/>
        <w:autoSpaceDN w:val="0"/>
        <w:adjustRightInd w:val="0"/>
        <w:spacing w:line="360" w:lineRule="auto"/>
        <w:outlineLvl w:val="0"/>
        <w:rPr>
          <w:rFonts w:ascii="宋体" w:hAnsi="宋体"/>
          <w:b/>
          <w:bCs/>
          <w:color w:val="auto"/>
          <w:sz w:val="24"/>
          <w:szCs w:val="24"/>
          <w:highlight w:val="none"/>
        </w:rPr>
      </w:pPr>
    </w:p>
    <w:p w14:paraId="5CFB7E2D">
      <w:pPr>
        <w:pStyle w:val="6"/>
        <w:numPr>
          <w:ilvl w:val="3"/>
          <w:numId w:val="0"/>
        </w:numPr>
        <w:rPr>
          <w:color w:val="auto"/>
          <w:highlight w:val="none"/>
        </w:rPr>
      </w:pPr>
    </w:p>
    <w:p w14:paraId="444C1DEB">
      <w:pPr>
        <w:rPr>
          <w:rFonts w:ascii="宋体" w:hAnsi="宋体"/>
          <w:b/>
          <w:bCs/>
          <w:color w:val="auto"/>
          <w:sz w:val="24"/>
          <w:szCs w:val="24"/>
          <w:highlight w:val="none"/>
        </w:rPr>
      </w:pPr>
    </w:p>
    <w:p w14:paraId="7981A16B">
      <w:pPr>
        <w:pStyle w:val="6"/>
        <w:numPr>
          <w:ilvl w:val="3"/>
          <w:numId w:val="0"/>
        </w:numPr>
        <w:rPr>
          <w:color w:val="auto"/>
          <w:highlight w:val="none"/>
        </w:rPr>
      </w:pPr>
    </w:p>
    <w:p w14:paraId="75B71983">
      <w:pPr>
        <w:rPr>
          <w:color w:val="auto"/>
          <w:highlight w:val="none"/>
        </w:rPr>
      </w:pPr>
    </w:p>
    <w:p w14:paraId="04570320">
      <w:pPr>
        <w:jc w:val="center"/>
        <w:rPr>
          <w:rFonts w:ascii="宋体" w:hAnsi="宋体"/>
          <w:b/>
          <w:bCs/>
          <w:color w:val="auto"/>
          <w:sz w:val="36"/>
          <w:szCs w:val="36"/>
          <w:highlight w:val="none"/>
        </w:rPr>
      </w:pPr>
      <w:r>
        <w:rPr>
          <w:rFonts w:hint="eastAsia" w:ascii="宋体" w:hAnsi="宋体"/>
          <w:b/>
          <w:bCs/>
          <w:color w:val="auto"/>
          <w:sz w:val="24"/>
          <w:szCs w:val="24"/>
          <w:highlight w:val="none"/>
        </w:rPr>
        <w:t>4.</w:t>
      </w:r>
      <w:r>
        <w:rPr>
          <w:rFonts w:hint="eastAsia" w:ascii="宋体" w:hAnsi="宋体"/>
          <w:b/>
          <w:bCs/>
          <w:color w:val="auto"/>
          <w:sz w:val="24"/>
          <w:szCs w:val="24"/>
          <w:highlight w:val="none"/>
          <w:lang w:val="en-US" w:eastAsia="zh-CN"/>
        </w:rPr>
        <w:t>5</w:t>
      </w:r>
      <w:r>
        <w:rPr>
          <w:rFonts w:hint="eastAsia" w:ascii="宋体" w:hAnsi="宋体"/>
          <w:b/>
          <w:bCs/>
          <w:color w:val="auto"/>
          <w:sz w:val="24"/>
          <w:szCs w:val="24"/>
          <w:highlight w:val="none"/>
        </w:rPr>
        <w:t>售后服务方案</w:t>
      </w:r>
    </w:p>
    <w:p w14:paraId="180FDA09">
      <w:pPr>
        <w:autoSpaceDE w:val="0"/>
        <w:autoSpaceDN w:val="0"/>
        <w:adjustRightInd w:val="0"/>
        <w:spacing w:line="360" w:lineRule="auto"/>
        <w:jc w:val="center"/>
        <w:rPr>
          <w:rFonts w:ascii="宋体" w:hAnsi="宋体"/>
          <w:color w:val="auto"/>
          <w:szCs w:val="21"/>
          <w:highlight w:val="none"/>
          <w:lang w:val="zh-CN"/>
        </w:rPr>
      </w:pPr>
      <w:r>
        <w:rPr>
          <w:rFonts w:hint="eastAsia" w:ascii="宋体" w:hAnsi="宋体"/>
          <w:color w:val="auto"/>
          <w:szCs w:val="21"/>
          <w:highlight w:val="none"/>
          <w:lang w:val="zh-CN"/>
        </w:rPr>
        <w:t>（供应商根据磋商文件要求自行编制）</w:t>
      </w:r>
    </w:p>
    <w:p w14:paraId="488BD1A2">
      <w:pPr>
        <w:autoSpaceDE w:val="0"/>
        <w:autoSpaceDN w:val="0"/>
        <w:adjustRightInd w:val="0"/>
        <w:spacing w:line="360" w:lineRule="auto"/>
        <w:jc w:val="center"/>
        <w:rPr>
          <w:rFonts w:ascii="宋体" w:hAnsi="宋体"/>
          <w:color w:val="auto"/>
          <w:szCs w:val="21"/>
          <w:highlight w:val="none"/>
          <w:lang w:val="zh-CN"/>
        </w:rPr>
      </w:pPr>
    </w:p>
    <w:p w14:paraId="5373835A">
      <w:pPr>
        <w:autoSpaceDE w:val="0"/>
        <w:autoSpaceDN w:val="0"/>
        <w:adjustRightInd w:val="0"/>
        <w:spacing w:line="360" w:lineRule="auto"/>
        <w:jc w:val="center"/>
        <w:outlineLvl w:val="0"/>
        <w:rPr>
          <w:rFonts w:ascii="宋体" w:hAnsi="宋体"/>
          <w:b/>
          <w:bCs/>
          <w:color w:val="auto"/>
          <w:sz w:val="24"/>
          <w:szCs w:val="24"/>
          <w:highlight w:val="none"/>
        </w:rPr>
      </w:pPr>
    </w:p>
    <w:p w14:paraId="0B6DD17F">
      <w:pPr>
        <w:adjustRightInd w:val="0"/>
        <w:spacing w:line="360" w:lineRule="auto"/>
        <w:jc w:val="center"/>
        <w:outlineLvl w:val="0"/>
        <w:rPr>
          <w:rFonts w:ascii="宋体" w:hAnsi="宋体" w:eastAsia="宋体" w:cs="宋体"/>
          <w:b/>
          <w:bCs/>
          <w:sz w:val="24"/>
          <w:szCs w:val="24"/>
          <w:lang w:val="en-US"/>
        </w:rPr>
      </w:pPr>
      <w:r>
        <w:rPr>
          <w:rFonts w:hint="eastAsia" w:ascii="宋体" w:hAnsi="宋体" w:cs="宋体"/>
          <w:b/>
          <w:bCs/>
          <w:sz w:val="24"/>
          <w:szCs w:val="24"/>
          <w:lang w:val="en-US" w:eastAsia="zh-CN"/>
        </w:rPr>
        <w:t>4.6</w:t>
      </w:r>
      <w:r>
        <w:rPr>
          <w:rFonts w:ascii="宋体" w:hAnsi="宋体" w:eastAsia="宋体" w:cs="宋体"/>
          <w:b/>
          <w:bCs/>
          <w:sz w:val="24"/>
          <w:szCs w:val="24"/>
          <w:lang w:val="en-US"/>
        </w:rPr>
        <w:t>中小企业声明函（货物）</w:t>
      </w:r>
    </w:p>
    <w:p w14:paraId="201A57A0">
      <w:pPr>
        <w:spacing w:line="360" w:lineRule="auto"/>
        <w:jc w:val="center"/>
        <w:rPr>
          <w:rFonts w:ascii="宋体" w:hAnsi="宋体" w:eastAsia="宋体"/>
          <w:b/>
          <w:bCs/>
          <w:sz w:val="22"/>
          <w:szCs w:val="22"/>
        </w:rPr>
      </w:pPr>
    </w:p>
    <w:p w14:paraId="65B56EBB">
      <w:pPr>
        <w:spacing w:line="360" w:lineRule="auto"/>
        <w:ind w:firstLine="741" w:firstLineChars="337"/>
        <w:rPr>
          <w:rFonts w:ascii="宋体" w:hAnsi="宋体" w:eastAsia="宋体"/>
          <w:sz w:val="22"/>
          <w:szCs w:val="22"/>
        </w:rPr>
      </w:pPr>
      <w:r>
        <w:rPr>
          <w:rFonts w:ascii="宋体" w:hAnsi="宋体" w:eastAsia="宋体"/>
          <w:sz w:val="22"/>
          <w:szCs w:val="22"/>
        </w:rPr>
        <w:t>本公司（联合体）郑重声明，根据《政府采购促进中小企业发展管理办法》（财库﹝2020﹞46 号）的规定，本公司（联合体）参加</w:t>
      </w:r>
      <w:r>
        <w:rPr>
          <w:rFonts w:ascii="宋体" w:hAnsi="宋体" w:eastAsia="宋体"/>
          <w:i/>
          <w:sz w:val="22"/>
          <w:szCs w:val="22"/>
          <w:u w:val="single"/>
        </w:rPr>
        <w:t>（单位名称）</w:t>
      </w:r>
      <w:r>
        <w:rPr>
          <w:rFonts w:ascii="宋体" w:hAnsi="宋体" w:eastAsia="宋体"/>
          <w:sz w:val="22"/>
          <w:szCs w:val="22"/>
        </w:rPr>
        <w:t>的</w:t>
      </w:r>
      <w:r>
        <w:rPr>
          <w:rFonts w:ascii="宋体" w:hAnsi="宋体" w:eastAsia="宋体"/>
          <w:i/>
          <w:sz w:val="22"/>
          <w:szCs w:val="22"/>
          <w:u w:val="single"/>
        </w:rPr>
        <w:t>（项目名称）</w:t>
      </w:r>
      <w:r>
        <w:rPr>
          <w:rFonts w:ascii="宋体" w:hAnsi="宋体" w:eastAsia="宋体"/>
          <w:sz w:val="22"/>
          <w:szCs w:val="22"/>
        </w:rPr>
        <w:t>采购活动，提供的货物全部由符合政策要求的中小企业制造。相关企业（含联合体中的中小企业、签订分包意向协议的中小企业）的具体情况如下：</w:t>
      </w:r>
    </w:p>
    <w:p w14:paraId="354D46DE">
      <w:pPr>
        <w:spacing w:line="360" w:lineRule="auto"/>
        <w:ind w:firstLine="741" w:firstLineChars="337"/>
        <w:rPr>
          <w:rFonts w:ascii="宋体" w:hAnsi="宋体" w:eastAsia="宋体"/>
          <w:sz w:val="22"/>
          <w:szCs w:val="22"/>
        </w:rPr>
      </w:pPr>
      <w:r>
        <w:rPr>
          <w:rFonts w:ascii="宋体" w:hAnsi="宋体" w:eastAsia="宋体"/>
          <w:sz w:val="22"/>
          <w:szCs w:val="22"/>
        </w:rPr>
        <w:t xml:space="preserve">1. </w:t>
      </w:r>
      <w:r>
        <w:rPr>
          <w:rFonts w:ascii="宋体" w:hAnsi="宋体" w:eastAsia="宋体"/>
          <w:i/>
          <w:sz w:val="22"/>
          <w:szCs w:val="22"/>
          <w:u w:val="single"/>
        </w:rPr>
        <w:t>（标的名称）</w:t>
      </w:r>
      <w:r>
        <w:rPr>
          <w:rFonts w:ascii="宋体" w:hAnsi="宋体" w:eastAsia="宋体"/>
          <w:sz w:val="22"/>
          <w:szCs w:val="22"/>
        </w:rPr>
        <w:t>，属于</w:t>
      </w:r>
      <w:r>
        <w:rPr>
          <w:rFonts w:ascii="宋体" w:hAnsi="宋体" w:eastAsia="宋体"/>
          <w:i/>
          <w:sz w:val="22"/>
          <w:szCs w:val="22"/>
          <w:u w:val="single"/>
        </w:rPr>
        <w:t>（采购文件中明确的所属行业）</w:t>
      </w:r>
      <w:r>
        <w:rPr>
          <w:rFonts w:ascii="宋体" w:hAnsi="宋体" w:eastAsia="宋体"/>
          <w:sz w:val="22"/>
          <w:szCs w:val="22"/>
        </w:rPr>
        <w:t>行业；制造商为</w:t>
      </w:r>
      <w:r>
        <w:rPr>
          <w:rFonts w:ascii="宋体" w:hAnsi="宋体" w:eastAsia="宋体"/>
          <w:i/>
          <w:sz w:val="22"/>
          <w:szCs w:val="22"/>
          <w:u w:val="single"/>
        </w:rPr>
        <w:t>（企业名称）</w:t>
      </w:r>
      <w:r>
        <w:rPr>
          <w:rFonts w:ascii="宋体" w:hAnsi="宋体" w:eastAsia="宋体"/>
          <w:sz w:val="22"/>
          <w:szCs w:val="22"/>
        </w:rPr>
        <w:t>，从业人员人，营业收入为万元，资产总额为万元，属于</w:t>
      </w:r>
      <w:r>
        <w:rPr>
          <w:rFonts w:ascii="宋体" w:hAnsi="宋体" w:eastAsia="宋体"/>
          <w:i/>
          <w:sz w:val="22"/>
          <w:szCs w:val="22"/>
          <w:u w:val="single"/>
        </w:rPr>
        <w:t>（中型企业、小型企业、微型企业）</w:t>
      </w:r>
      <w:r>
        <w:rPr>
          <w:rFonts w:ascii="宋体" w:hAnsi="宋体" w:eastAsia="宋体"/>
          <w:sz w:val="22"/>
          <w:szCs w:val="22"/>
        </w:rPr>
        <w:t>；</w:t>
      </w:r>
    </w:p>
    <w:p w14:paraId="0164FAC6">
      <w:pPr>
        <w:spacing w:line="360" w:lineRule="auto"/>
        <w:ind w:firstLine="741" w:firstLineChars="337"/>
        <w:rPr>
          <w:rFonts w:ascii="宋体" w:hAnsi="宋体" w:eastAsia="宋体"/>
          <w:sz w:val="22"/>
          <w:szCs w:val="22"/>
        </w:rPr>
      </w:pPr>
      <w:r>
        <w:rPr>
          <w:rFonts w:ascii="宋体" w:hAnsi="宋体" w:eastAsia="宋体"/>
          <w:sz w:val="22"/>
          <w:szCs w:val="22"/>
        </w:rPr>
        <w:t xml:space="preserve">2. </w:t>
      </w:r>
      <w:r>
        <w:rPr>
          <w:rFonts w:ascii="宋体" w:hAnsi="宋体" w:eastAsia="宋体"/>
          <w:i/>
          <w:sz w:val="22"/>
          <w:szCs w:val="22"/>
          <w:u w:val="single"/>
        </w:rPr>
        <w:t>（标的名称）</w:t>
      </w:r>
      <w:r>
        <w:rPr>
          <w:rFonts w:ascii="宋体" w:hAnsi="宋体" w:eastAsia="宋体"/>
          <w:sz w:val="22"/>
          <w:szCs w:val="22"/>
        </w:rPr>
        <w:t>，属于</w:t>
      </w:r>
      <w:r>
        <w:rPr>
          <w:rFonts w:ascii="宋体" w:hAnsi="宋体" w:eastAsia="宋体"/>
          <w:i/>
          <w:sz w:val="22"/>
          <w:szCs w:val="22"/>
          <w:u w:val="single"/>
        </w:rPr>
        <w:t>（采购文件中明确的所属行业）</w:t>
      </w:r>
      <w:r>
        <w:rPr>
          <w:rFonts w:ascii="宋体" w:hAnsi="宋体" w:eastAsia="宋体"/>
          <w:sz w:val="22"/>
          <w:szCs w:val="22"/>
        </w:rPr>
        <w:t>行业；制造商为</w:t>
      </w:r>
      <w:r>
        <w:rPr>
          <w:rFonts w:ascii="宋体" w:hAnsi="宋体" w:eastAsia="宋体"/>
          <w:i/>
          <w:sz w:val="22"/>
          <w:szCs w:val="22"/>
          <w:u w:val="single"/>
        </w:rPr>
        <w:t>（企业名称）</w:t>
      </w:r>
      <w:r>
        <w:rPr>
          <w:rFonts w:ascii="宋体" w:hAnsi="宋体" w:eastAsia="宋体"/>
          <w:sz w:val="22"/>
          <w:szCs w:val="22"/>
        </w:rPr>
        <w:t>，从业人员人，营业收入为万元，资产总额为万元，属于</w:t>
      </w:r>
      <w:r>
        <w:rPr>
          <w:rFonts w:ascii="宋体" w:hAnsi="宋体" w:eastAsia="宋体"/>
          <w:i/>
          <w:sz w:val="22"/>
          <w:szCs w:val="22"/>
          <w:u w:val="single"/>
        </w:rPr>
        <w:t>（中型企业、小型企业、微型企业）</w:t>
      </w:r>
      <w:r>
        <w:rPr>
          <w:rFonts w:ascii="宋体" w:hAnsi="宋体" w:eastAsia="宋体"/>
          <w:sz w:val="22"/>
          <w:szCs w:val="22"/>
        </w:rPr>
        <w:t>；</w:t>
      </w:r>
    </w:p>
    <w:p w14:paraId="5D9175CD">
      <w:pPr>
        <w:spacing w:line="360" w:lineRule="auto"/>
        <w:ind w:firstLine="741" w:firstLineChars="337"/>
        <w:rPr>
          <w:rFonts w:ascii="宋体" w:hAnsi="宋体" w:eastAsia="宋体"/>
          <w:sz w:val="22"/>
          <w:szCs w:val="22"/>
        </w:rPr>
      </w:pPr>
      <w:r>
        <w:rPr>
          <w:rFonts w:ascii="宋体" w:hAnsi="宋体" w:eastAsia="宋体"/>
          <w:sz w:val="22"/>
          <w:szCs w:val="22"/>
        </w:rPr>
        <w:t xml:space="preserve">…… </w:t>
      </w:r>
    </w:p>
    <w:p w14:paraId="7C0E64EF">
      <w:pPr>
        <w:spacing w:line="360" w:lineRule="auto"/>
        <w:ind w:firstLine="741" w:firstLineChars="337"/>
        <w:rPr>
          <w:rFonts w:ascii="宋体" w:hAnsi="宋体" w:eastAsia="宋体"/>
          <w:sz w:val="22"/>
          <w:szCs w:val="22"/>
        </w:rPr>
      </w:pPr>
      <w:r>
        <w:rPr>
          <w:rFonts w:ascii="宋体" w:hAnsi="宋体" w:eastAsia="宋体"/>
          <w:sz w:val="22"/>
          <w:szCs w:val="22"/>
        </w:rPr>
        <w:t>以上企业，不属于大企业的分支机构，不存在控股股东为大企业的情形，也不存在与大企业的负责人为同一人的情形。</w:t>
      </w:r>
    </w:p>
    <w:p w14:paraId="338FABC9">
      <w:pPr>
        <w:spacing w:line="360" w:lineRule="auto"/>
        <w:ind w:firstLine="741" w:firstLineChars="337"/>
        <w:rPr>
          <w:rFonts w:ascii="宋体" w:hAnsi="宋体" w:eastAsia="宋体"/>
          <w:sz w:val="22"/>
          <w:szCs w:val="22"/>
        </w:rPr>
      </w:pPr>
      <w:r>
        <w:rPr>
          <w:rFonts w:ascii="宋体" w:hAnsi="宋体" w:eastAsia="宋体"/>
          <w:sz w:val="22"/>
          <w:szCs w:val="22"/>
        </w:rPr>
        <w:t>本企业对上述声明内容的真实性负责。如有虚假，将依法承担相应责任。</w:t>
      </w:r>
    </w:p>
    <w:p w14:paraId="335B5FB8">
      <w:pPr>
        <w:spacing w:line="360" w:lineRule="auto"/>
        <w:ind w:firstLine="741" w:firstLineChars="337"/>
        <w:rPr>
          <w:rFonts w:ascii="宋体" w:hAnsi="宋体" w:eastAsia="宋体"/>
          <w:sz w:val="22"/>
          <w:szCs w:val="22"/>
        </w:rPr>
      </w:pPr>
    </w:p>
    <w:p w14:paraId="5B27769D">
      <w:pPr>
        <w:spacing w:line="480" w:lineRule="auto"/>
        <w:jc w:val="right"/>
        <w:rPr>
          <w:rFonts w:ascii="宋体" w:hAnsi="宋体" w:eastAsia="宋体"/>
          <w:sz w:val="22"/>
          <w:szCs w:val="22"/>
        </w:rPr>
      </w:pPr>
      <w:r>
        <w:rPr>
          <w:rFonts w:ascii="宋体" w:hAnsi="宋体" w:eastAsia="宋体"/>
          <w:sz w:val="22"/>
          <w:szCs w:val="22"/>
        </w:rPr>
        <w:t>企业名称（盖章）：</w:t>
      </w:r>
    </w:p>
    <w:p w14:paraId="413B726E">
      <w:pPr>
        <w:spacing w:line="480" w:lineRule="auto"/>
        <w:ind w:firstLine="6241" w:firstLineChars="2837"/>
        <w:jc w:val="right"/>
        <w:rPr>
          <w:rFonts w:ascii="宋体" w:hAnsi="宋体" w:eastAsia="宋体" w:cs="Arial"/>
          <w:sz w:val="22"/>
          <w:szCs w:val="22"/>
        </w:rPr>
      </w:pPr>
      <w:r>
        <w:rPr>
          <w:rFonts w:ascii="宋体" w:hAnsi="宋体" w:eastAsia="宋体"/>
          <w:sz w:val="22"/>
          <w:szCs w:val="22"/>
        </w:rPr>
        <w:t>日期：</w:t>
      </w:r>
    </w:p>
    <w:p w14:paraId="5C219363">
      <w:pPr>
        <w:spacing w:line="480" w:lineRule="auto"/>
        <w:ind w:left="4358" w:leftChars="2075"/>
        <w:rPr>
          <w:rFonts w:ascii="宋体" w:hAnsi="宋体" w:eastAsia="宋体" w:cs="Arial"/>
          <w:sz w:val="22"/>
          <w:szCs w:val="22"/>
        </w:rPr>
      </w:pPr>
    </w:p>
    <w:p w14:paraId="7E38191A">
      <w:pPr>
        <w:widowControl/>
        <w:spacing w:before="100" w:beforeAutospacing="1" w:after="100" w:afterAutospacing="1" w:line="360" w:lineRule="auto"/>
        <w:contextualSpacing/>
        <w:rPr>
          <w:rFonts w:ascii="宋体" w:hAnsi="宋体" w:eastAsia="宋体"/>
          <w:sz w:val="22"/>
          <w:szCs w:val="22"/>
        </w:rPr>
      </w:pPr>
      <w:r>
        <w:rPr>
          <w:rFonts w:hint="eastAsia" w:ascii="宋体" w:hAnsi="宋体" w:eastAsia="宋体"/>
          <w:sz w:val="22"/>
          <w:szCs w:val="22"/>
        </w:rPr>
        <w:t>说明：</w:t>
      </w:r>
    </w:p>
    <w:p w14:paraId="599C82F9">
      <w:pPr>
        <w:widowControl/>
        <w:spacing w:before="100" w:beforeAutospacing="1" w:after="100" w:afterAutospacing="1" w:line="360" w:lineRule="auto"/>
        <w:contextualSpacing/>
        <w:rPr>
          <w:rFonts w:ascii="宋体" w:hAnsi="宋体" w:eastAsia="宋体" w:cs="Arial"/>
          <w:sz w:val="22"/>
          <w:szCs w:val="22"/>
        </w:rPr>
      </w:pPr>
      <w:r>
        <w:rPr>
          <w:rFonts w:hint="eastAsia" w:ascii="宋体" w:hAnsi="宋体" w:eastAsia="宋体" w:cs="Arial"/>
          <w:sz w:val="22"/>
          <w:szCs w:val="22"/>
        </w:rPr>
        <w:t>1、</w:t>
      </w:r>
      <w:r>
        <w:rPr>
          <w:rFonts w:ascii="宋体" w:hAnsi="宋体" w:eastAsia="宋体"/>
          <w:sz w:val="22"/>
          <w:szCs w:val="22"/>
        </w:rPr>
        <w:t>从业人员、营业收入、资产总额填报上一年度数据，无上一年度数据的新成立企业可不填报。</w:t>
      </w:r>
    </w:p>
    <w:p w14:paraId="63D9F525">
      <w:pPr>
        <w:autoSpaceDE w:val="0"/>
        <w:autoSpaceDN w:val="0"/>
        <w:adjustRightInd w:val="0"/>
        <w:spacing w:line="360" w:lineRule="auto"/>
        <w:jc w:val="center"/>
        <w:outlineLvl w:val="0"/>
        <w:rPr>
          <w:rFonts w:ascii="宋体" w:hAnsi="宋体"/>
          <w:b/>
          <w:bCs/>
          <w:color w:val="auto"/>
          <w:sz w:val="24"/>
          <w:szCs w:val="24"/>
          <w:highlight w:val="none"/>
        </w:rPr>
      </w:pPr>
      <w:r>
        <w:rPr>
          <w:rFonts w:hint="eastAsia" w:ascii="宋体" w:hAnsi="宋体" w:eastAsia="宋体" w:cs="Arial"/>
          <w:sz w:val="22"/>
          <w:szCs w:val="22"/>
        </w:rPr>
        <w:t>2、</w:t>
      </w:r>
      <w:r>
        <w:rPr>
          <w:rFonts w:ascii="宋体" w:hAnsi="宋体" w:eastAsia="宋体" w:cs="Arial"/>
          <w:sz w:val="22"/>
          <w:szCs w:val="22"/>
        </w:rPr>
        <w:t>中小企业参加政府采购活动，应当出具《中小企业声明函》，否则不得享受相关中小企业扶持政策。</w:t>
      </w:r>
      <w:r>
        <w:rPr>
          <w:rFonts w:ascii="宋体" w:hAnsi="宋体" w:eastAsia="宋体" w:cs="Arial"/>
          <w:sz w:val="24"/>
          <w:szCs w:val="24"/>
        </w:rPr>
        <w:br w:type="page"/>
      </w:r>
    </w:p>
    <w:p w14:paraId="1C659EE2">
      <w:pPr>
        <w:autoSpaceDE w:val="0"/>
        <w:autoSpaceDN w:val="0"/>
        <w:adjustRightInd w:val="0"/>
        <w:spacing w:line="360" w:lineRule="auto"/>
        <w:jc w:val="center"/>
        <w:outlineLvl w:val="0"/>
        <w:rPr>
          <w:rFonts w:ascii="宋体" w:hAnsi="宋体"/>
          <w:b/>
          <w:bCs/>
          <w:color w:val="auto"/>
          <w:sz w:val="24"/>
          <w:szCs w:val="24"/>
          <w:highlight w:val="none"/>
        </w:rPr>
      </w:pPr>
    </w:p>
    <w:p w14:paraId="6C7652C4">
      <w:pPr>
        <w:autoSpaceDE w:val="0"/>
        <w:autoSpaceDN w:val="0"/>
        <w:adjustRightInd w:val="0"/>
        <w:spacing w:line="360" w:lineRule="auto"/>
        <w:jc w:val="center"/>
        <w:outlineLvl w:val="0"/>
        <w:rPr>
          <w:rFonts w:ascii="宋体"/>
          <w:b/>
          <w:bCs/>
          <w:color w:val="auto"/>
          <w:sz w:val="24"/>
          <w:szCs w:val="24"/>
          <w:highlight w:val="none"/>
        </w:rPr>
      </w:pPr>
      <w:r>
        <w:rPr>
          <w:rFonts w:hint="eastAsia" w:ascii="宋体" w:hAnsi="宋体"/>
          <w:b/>
          <w:bCs/>
          <w:color w:val="auto"/>
          <w:sz w:val="24"/>
          <w:szCs w:val="24"/>
          <w:highlight w:val="none"/>
          <w:lang w:val="en-US" w:eastAsia="zh-CN"/>
        </w:rPr>
        <w:t>4.7</w:t>
      </w:r>
      <w:r>
        <w:rPr>
          <w:rFonts w:ascii="宋体" w:hAnsi="宋体"/>
          <w:b/>
          <w:bCs/>
          <w:color w:val="auto"/>
          <w:sz w:val="24"/>
          <w:szCs w:val="24"/>
          <w:highlight w:val="none"/>
        </w:rPr>
        <w:t xml:space="preserve"> </w:t>
      </w:r>
      <w:r>
        <w:rPr>
          <w:rFonts w:hint="eastAsia" w:ascii="宋体" w:hAnsi="宋体"/>
          <w:b/>
          <w:bCs/>
          <w:color w:val="auto"/>
          <w:sz w:val="24"/>
          <w:szCs w:val="24"/>
          <w:highlight w:val="none"/>
        </w:rPr>
        <w:t>残疾人福利性单位声明函（如有）</w:t>
      </w:r>
    </w:p>
    <w:p w14:paraId="0BA03713">
      <w:pPr>
        <w:spacing w:line="360" w:lineRule="auto"/>
        <w:rPr>
          <w:rFonts w:ascii="宋体"/>
          <w:color w:val="auto"/>
          <w:szCs w:val="21"/>
          <w:highlight w:val="none"/>
        </w:rPr>
      </w:pPr>
    </w:p>
    <w:p w14:paraId="7953A297">
      <w:pPr>
        <w:spacing w:line="360" w:lineRule="auto"/>
        <w:ind w:firstLine="420" w:firstLineChars="200"/>
        <w:rPr>
          <w:rFonts w:ascii="宋体"/>
          <w:color w:val="auto"/>
          <w:szCs w:val="21"/>
          <w:highlight w:val="none"/>
        </w:rPr>
      </w:pPr>
      <w:r>
        <w:rPr>
          <w:rFonts w:hint="eastAsia" w:ascii="宋体" w:hAnsi="宋体"/>
          <w:color w:val="auto"/>
          <w:szCs w:val="21"/>
          <w:highlight w:val="none"/>
        </w:rPr>
        <w:t>本单位郑重声明，根据《财政部民政部中国残疾人联合会关于促进残疾人就业政府采购政策的通知》（财库〔</w:t>
      </w:r>
      <w:r>
        <w:rPr>
          <w:rFonts w:ascii="宋体" w:hAnsi="宋体"/>
          <w:color w:val="auto"/>
          <w:szCs w:val="21"/>
          <w:highlight w:val="none"/>
        </w:rPr>
        <w:t>2017</w:t>
      </w:r>
      <w:r>
        <w:rPr>
          <w:rFonts w:hint="eastAsia" w:ascii="宋体" w:hAnsi="宋体"/>
          <w:color w:val="auto"/>
          <w:szCs w:val="21"/>
          <w:highlight w:val="none"/>
        </w:rPr>
        <w:t>〕</w:t>
      </w:r>
      <w:r>
        <w:rPr>
          <w:rFonts w:ascii="宋体" w:hAnsi="宋体"/>
          <w:color w:val="auto"/>
          <w:szCs w:val="21"/>
          <w:highlight w:val="none"/>
        </w:rPr>
        <w:t>141</w:t>
      </w:r>
      <w:r>
        <w:rPr>
          <w:rFonts w:hint="eastAsia" w:ascii="宋体" w:hAnsi="宋体"/>
          <w:color w:val="auto"/>
          <w:szCs w:val="21"/>
          <w:highlight w:val="none"/>
        </w:rPr>
        <w:t>号）的规定，本单位为（符合/不符合）条件的残疾人福利性单位，且本单位参加单位的项目采购活动提供本单位制造的货物（由本单位承担工程</w:t>
      </w:r>
      <w:r>
        <w:rPr>
          <w:rFonts w:ascii="宋体" w:hAnsi="宋体"/>
          <w:color w:val="auto"/>
          <w:szCs w:val="21"/>
          <w:highlight w:val="none"/>
        </w:rPr>
        <w:t>/</w:t>
      </w:r>
      <w:r>
        <w:rPr>
          <w:rFonts w:hint="eastAsia" w:ascii="宋体" w:hAnsi="宋体"/>
          <w:color w:val="auto"/>
          <w:szCs w:val="21"/>
          <w:highlight w:val="none"/>
        </w:rPr>
        <w:t>提供服务），或者提供其他残疾人福利性单位制造的货物（不包括使用非残疾人福利性单位注册商标的货物）。</w:t>
      </w:r>
    </w:p>
    <w:p w14:paraId="14CCB360">
      <w:pPr>
        <w:spacing w:line="360" w:lineRule="auto"/>
        <w:ind w:firstLine="420" w:firstLineChars="200"/>
        <w:rPr>
          <w:rFonts w:ascii="宋体"/>
          <w:color w:val="auto"/>
          <w:szCs w:val="21"/>
          <w:highlight w:val="none"/>
        </w:rPr>
      </w:pPr>
      <w:r>
        <w:rPr>
          <w:rFonts w:hint="eastAsia" w:ascii="宋体" w:hAnsi="宋体"/>
          <w:color w:val="auto"/>
          <w:szCs w:val="21"/>
          <w:highlight w:val="none"/>
        </w:rPr>
        <w:t>本单位对上述声明的真实性负责。如有虚假，将依法承担相应责任。</w:t>
      </w:r>
    </w:p>
    <w:p w14:paraId="2F8E98F6">
      <w:pPr>
        <w:spacing w:line="360" w:lineRule="auto"/>
        <w:rPr>
          <w:rFonts w:ascii="宋体"/>
          <w:color w:val="auto"/>
          <w:szCs w:val="21"/>
          <w:highlight w:val="none"/>
        </w:rPr>
      </w:pPr>
    </w:p>
    <w:p w14:paraId="638B74B6">
      <w:pPr>
        <w:spacing w:line="360" w:lineRule="auto"/>
        <w:rPr>
          <w:rFonts w:ascii="宋体"/>
          <w:color w:val="auto"/>
          <w:szCs w:val="21"/>
          <w:highlight w:val="none"/>
        </w:rPr>
      </w:pPr>
    </w:p>
    <w:p w14:paraId="430987CE">
      <w:pPr>
        <w:spacing w:line="360" w:lineRule="auto"/>
        <w:ind w:firstLine="4830" w:firstLineChars="2300"/>
        <w:rPr>
          <w:rFonts w:ascii="宋体"/>
          <w:color w:val="auto"/>
          <w:szCs w:val="21"/>
          <w:highlight w:val="none"/>
        </w:rPr>
      </w:pPr>
      <w:r>
        <w:rPr>
          <w:rFonts w:hint="eastAsia" w:ascii="宋体" w:hAnsi="宋体"/>
          <w:color w:val="auto"/>
          <w:szCs w:val="21"/>
          <w:highlight w:val="none"/>
        </w:rPr>
        <w:t>单位名称（盖章）：</w:t>
      </w:r>
    </w:p>
    <w:p w14:paraId="4FBF0663">
      <w:pPr>
        <w:spacing w:line="360" w:lineRule="auto"/>
        <w:ind w:firstLine="4830" w:firstLineChars="2300"/>
        <w:rPr>
          <w:rFonts w:ascii="宋体"/>
          <w:color w:val="auto"/>
          <w:szCs w:val="21"/>
          <w:highlight w:val="none"/>
        </w:rPr>
      </w:pPr>
      <w:r>
        <w:rPr>
          <w:rFonts w:hint="eastAsia" w:ascii="宋体" w:hAnsi="宋体"/>
          <w:color w:val="auto"/>
          <w:szCs w:val="21"/>
          <w:highlight w:val="none"/>
        </w:rPr>
        <w:t>日    期：  年  月  日</w:t>
      </w:r>
    </w:p>
    <w:p w14:paraId="37D1C5B8">
      <w:pPr>
        <w:rPr>
          <w:rFonts w:ascii="宋体"/>
          <w:color w:val="auto"/>
          <w:highlight w:val="none"/>
        </w:rPr>
      </w:pPr>
    </w:p>
    <w:p w14:paraId="3E7FB108">
      <w:pPr>
        <w:widowControl/>
        <w:spacing w:before="100" w:beforeAutospacing="1" w:after="100" w:afterAutospacing="1" w:line="360" w:lineRule="auto"/>
        <w:jc w:val="center"/>
        <w:rPr>
          <w:rFonts w:ascii="宋体" w:hAnsi="宋体"/>
          <w:b/>
          <w:bCs/>
          <w:color w:val="auto"/>
          <w:sz w:val="24"/>
          <w:szCs w:val="24"/>
          <w:highlight w:val="none"/>
        </w:rPr>
      </w:pPr>
    </w:p>
    <w:p w14:paraId="068647D8">
      <w:pPr>
        <w:rPr>
          <w:rFonts w:ascii="宋体" w:hAnsi="宋体" w:cs="黑体"/>
          <w:b/>
          <w:bCs/>
          <w:color w:val="auto"/>
          <w:sz w:val="28"/>
          <w:szCs w:val="28"/>
          <w:highlight w:val="none"/>
          <w:lang w:val="zh-CN"/>
        </w:rPr>
      </w:pPr>
    </w:p>
    <w:p w14:paraId="62A70F4B">
      <w:pPr>
        <w:jc w:val="center"/>
        <w:rPr>
          <w:rFonts w:ascii="宋体" w:hAnsi="宋体" w:cs="黑体"/>
          <w:b/>
          <w:bCs/>
          <w:color w:val="auto"/>
          <w:sz w:val="28"/>
          <w:szCs w:val="28"/>
          <w:highlight w:val="none"/>
          <w:lang w:val="zh-CN"/>
        </w:rPr>
      </w:pPr>
    </w:p>
    <w:p w14:paraId="50DE724F">
      <w:pPr>
        <w:jc w:val="center"/>
        <w:rPr>
          <w:rFonts w:ascii="宋体" w:hAnsi="宋体" w:cs="黑体"/>
          <w:b/>
          <w:bCs/>
          <w:color w:val="auto"/>
          <w:sz w:val="28"/>
          <w:szCs w:val="28"/>
          <w:highlight w:val="none"/>
          <w:lang w:val="zh-CN"/>
        </w:rPr>
      </w:pPr>
      <w:r>
        <w:rPr>
          <w:rFonts w:hint="eastAsia" w:ascii="宋体" w:hAnsi="宋体" w:cs="黑体"/>
          <w:b/>
          <w:bCs/>
          <w:color w:val="auto"/>
          <w:sz w:val="28"/>
          <w:szCs w:val="28"/>
          <w:highlight w:val="none"/>
          <w:lang w:val="zh-CN"/>
        </w:rPr>
        <w:t>五、</w:t>
      </w:r>
      <w:r>
        <w:rPr>
          <w:rFonts w:ascii="宋体" w:hAnsi="宋体" w:cs="黑体"/>
          <w:b/>
          <w:bCs/>
          <w:color w:val="auto"/>
          <w:sz w:val="28"/>
          <w:szCs w:val="28"/>
          <w:highlight w:val="none"/>
          <w:lang w:val="zh-CN"/>
        </w:rPr>
        <w:t>其他资料（若有）</w:t>
      </w:r>
    </w:p>
    <w:p w14:paraId="61B35A13">
      <w:pPr>
        <w:rPr>
          <w:color w:val="auto"/>
          <w:highlight w:val="none"/>
        </w:rPr>
      </w:pPr>
    </w:p>
    <w:p w14:paraId="72EA2EAF">
      <w:pPr>
        <w:rPr>
          <w:color w:val="auto"/>
          <w:highlight w:val="none"/>
        </w:rPr>
      </w:pPr>
    </w:p>
    <w:p w14:paraId="3460E3B8">
      <w:pPr>
        <w:rPr>
          <w:color w:val="auto"/>
          <w:highlight w:val="none"/>
        </w:rPr>
      </w:pPr>
    </w:p>
    <w:p w14:paraId="71DB59AF">
      <w:pPr>
        <w:spacing w:line="360" w:lineRule="auto"/>
        <w:jc w:val="center"/>
        <w:rPr>
          <w:rFonts w:ascii="宋体" w:hAnsi="宋体"/>
          <w:b/>
          <w:bCs/>
          <w:color w:val="auto"/>
          <w:sz w:val="28"/>
          <w:szCs w:val="28"/>
          <w:highlight w:val="none"/>
        </w:rPr>
      </w:pPr>
      <w:r>
        <w:rPr>
          <w:rFonts w:ascii="宋体" w:hAnsi="宋体"/>
          <w:b/>
          <w:bCs/>
          <w:color w:val="auto"/>
          <w:sz w:val="28"/>
          <w:szCs w:val="28"/>
          <w:highlight w:val="none"/>
        </w:rPr>
        <w:t>除</w:t>
      </w:r>
      <w:r>
        <w:rPr>
          <w:rFonts w:hint="eastAsia" w:ascii="宋体" w:hAnsi="宋体"/>
          <w:b/>
          <w:bCs/>
          <w:color w:val="auto"/>
          <w:sz w:val="28"/>
          <w:szCs w:val="28"/>
          <w:highlight w:val="none"/>
        </w:rPr>
        <w:t>磋商</w:t>
      </w:r>
      <w:r>
        <w:rPr>
          <w:rFonts w:ascii="宋体" w:hAnsi="宋体"/>
          <w:b/>
          <w:bCs/>
          <w:color w:val="auto"/>
          <w:sz w:val="28"/>
          <w:szCs w:val="28"/>
          <w:highlight w:val="none"/>
        </w:rPr>
        <w:t>文件另有规定外，</w:t>
      </w:r>
      <w:r>
        <w:rPr>
          <w:rFonts w:hint="eastAsia" w:ascii="宋体" w:hAnsi="宋体"/>
          <w:b/>
          <w:bCs/>
          <w:color w:val="auto"/>
          <w:sz w:val="28"/>
          <w:szCs w:val="28"/>
          <w:highlight w:val="none"/>
        </w:rPr>
        <w:t>供应商</w:t>
      </w:r>
      <w:r>
        <w:rPr>
          <w:rFonts w:ascii="宋体" w:hAnsi="宋体"/>
          <w:b/>
          <w:bCs/>
          <w:color w:val="auto"/>
          <w:sz w:val="28"/>
          <w:szCs w:val="28"/>
          <w:highlight w:val="none"/>
        </w:rPr>
        <w:t>认为需要提交的其他证明材料或资料加盖</w:t>
      </w:r>
      <w:r>
        <w:rPr>
          <w:rFonts w:hint="eastAsia" w:ascii="宋体" w:hAnsi="宋体"/>
          <w:b/>
          <w:bCs/>
          <w:color w:val="auto"/>
          <w:sz w:val="28"/>
          <w:szCs w:val="28"/>
          <w:highlight w:val="none"/>
        </w:rPr>
        <w:t>供应商</w:t>
      </w:r>
      <w:r>
        <w:rPr>
          <w:rFonts w:ascii="宋体" w:hAnsi="宋体"/>
          <w:b/>
          <w:bCs/>
          <w:color w:val="auto"/>
          <w:sz w:val="28"/>
          <w:szCs w:val="28"/>
          <w:highlight w:val="none"/>
        </w:rPr>
        <w:t>的单位公章后在此项下提交。</w:t>
      </w:r>
    </w:p>
    <w:p w14:paraId="1FA186C1">
      <w:pPr>
        <w:spacing w:line="360" w:lineRule="auto"/>
        <w:jc w:val="center"/>
      </w:pPr>
      <w:r>
        <w:rPr>
          <w:rFonts w:ascii="宋体" w:hAnsi="宋体"/>
          <w:b/>
          <w:bCs/>
          <w:color w:val="000000"/>
          <w:sz w:val="28"/>
          <w:szCs w:val="28"/>
        </w:rPr>
        <w:t> </w:t>
      </w:r>
    </w:p>
    <w:sectPr>
      <w:footerReference r:id="rId3" w:type="default"/>
      <w:pgSz w:w="11906" w:h="16838"/>
      <w:pgMar w:top="2098" w:right="907" w:bottom="1720" w:left="10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简隶书">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TimesNewRomanPSMT">
    <w:altName w:val="宋体"/>
    <w:panose1 w:val="00000000000000000000"/>
    <w:charset w:val="00"/>
    <w:family w:val="auto"/>
    <w:pitch w:val="default"/>
    <w:sig w:usb0="00000000" w:usb1="00000000" w:usb2="00000010" w:usb3="00000000" w:csb0="00040001" w:csb1="00000000"/>
  </w:font>
  <w:font w:name="新宋体">
    <w:panose1 w:val="02010609030101010101"/>
    <w:charset w:val="86"/>
    <w:family w:val="modern"/>
    <w:pitch w:val="default"/>
    <w:sig w:usb0="00000203" w:usb1="288F0000" w:usb2="0000000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B78E2">
    <w:pPr>
      <w:pStyle w:val="2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BB7E4D4">
                          <w:pPr>
                            <w:pStyle w:val="21"/>
                          </w:pPr>
                          <w:r>
                            <w:fldChar w:fldCharType="begin"/>
                          </w:r>
                          <w:r>
                            <w:instrText xml:space="preserve"> PAGE  \* MERGEFORMAT </w:instrText>
                          </w:r>
                          <w:r>
                            <w:fldChar w:fldCharType="separate"/>
                          </w:r>
                          <w:r>
                            <w:t>9</w:t>
                          </w:r>
                          <w:r>
                            <w:fldChar w:fldCharType="end"/>
                          </w:r>
                        </w:p>
                      </w:txbxContent>
                    </wps:txbx>
                    <wps:bodyPr wrap="none" lIns="0" tIns="0" rIns="0" bIns="0" upright="1">
                      <a:spAutoFit/>
                    </wps:bodyPr>
                  </wps:wsp>
                </a:graphicData>
              </a:graphic>
            </wp:anchor>
          </w:drawing>
        </mc:Choice>
        <mc:Fallback>
          <w:pict>
            <v:shape id="409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CwT&#10;t6O2AQAAkgMAAA4AAAAAAAAAAQAgAAAAHgEAAGRycy9lMm9Eb2MueG1sUEsFBgAAAAAGAAYAWQEA&#10;AEYFAAAAAA==&#10;">
              <v:fill on="f" focussize="0,0"/>
              <v:stroke on="f"/>
              <v:imagedata o:title=""/>
              <o:lock v:ext="edit" aspectratio="f"/>
              <v:textbox inset="0mm,0mm,0mm,0mm" style="mso-fit-shape-to-text:t;">
                <w:txbxContent>
                  <w:p w14:paraId="5BB7E4D4">
                    <w:pPr>
                      <w:pStyle w:val="21"/>
                    </w:pPr>
                    <w:r>
                      <w:fldChar w:fldCharType="begin"/>
                    </w:r>
                    <w:r>
                      <w:instrText xml:space="preserve"> PAGE  \* MERGEFORMAT </w:instrText>
                    </w:r>
                    <w:r>
                      <w:fldChar w:fldCharType="separate"/>
                    </w:r>
                    <w:r>
                      <w:t>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C1A9E"/>
    <w:multiLevelType w:val="singleLevel"/>
    <w:tmpl w:val="9C8C1A9E"/>
    <w:lvl w:ilvl="0" w:tentative="0">
      <w:start w:val="2"/>
      <w:numFmt w:val="decimal"/>
      <w:suff w:val="nothing"/>
      <w:lvlText w:val="（%1）"/>
      <w:lvlJc w:val="left"/>
    </w:lvl>
  </w:abstractNum>
  <w:abstractNum w:abstractNumId="1">
    <w:nsid w:val="B01C78ED"/>
    <w:multiLevelType w:val="singleLevel"/>
    <w:tmpl w:val="B01C78ED"/>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pStyle w:val="47"/>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ascii="宋体" w:hAnsi="宋体" w:eastAsia="宋体"/>
        <w:b w:val="0"/>
        <w:color w:val="auto"/>
        <w:sz w:val="21"/>
        <w:szCs w:val="21"/>
      </w:rPr>
    </w:lvl>
    <w:lvl w:ilvl="2" w:tentative="0">
      <w:start w:val="1"/>
      <w:numFmt w:val="decimal"/>
      <w:lvlText w:val="%1.%2.%3."/>
      <w:lvlJc w:val="left"/>
      <w:pPr>
        <w:tabs>
          <w:tab w:val="left" w:pos="425"/>
        </w:tabs>
        <w:ind w:left="425" w:hanging="425"/>
      </w:pPr>
      <w:rPr>
        <w:rFonts w:hint="eastAsia"/>
        <w:sz w:val="21"/>
        <w:szCs w:val="21"/>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0000004"/>
    <w:multiLevelType w:val="multilevel"/>
    <w:tmpl w:val="00000004"/>
    <w:lvl w:ilvl="0" w:tentative="0">
      <w:start w:val="24"/>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6"/>
    <w:multiLevelType w:val="multilevel"/>
    <w:tmpl w:val="00000006"/>
    <w:lvl w:ilvl="0" w:tentative="0">
      <w:start w:val="27"/>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7"/>
    <w:multiLevelType w:val="multilevel"/>
    <w:tmpl w:val="00000007"/>
    <w:lvl w:ilvl="0" w:tentative="0">
      <w:start w:val="36"/>
      <w:numFmt w:val="decimal"/>
      <w:lvlText w:val="%1."/>
      <w:lvlJc w:val="left"/>
      <w:pPr>
        <w:ind w:left="420" w:hanging="420"/>
      </w:pPr>
      <w:rPr>
        <w:rFonts w:hint="eastAsia"/>
      </w:rPr>
    </w:lvl>
    <w:lvl w:ilvl="1" w:tentative="0">
      <w:start w:val="36"/>
      <w:numFmt w:val="decimal"/>
      <w:lvlText w:val="%2.2 "/>
      <w:lvlJc w:val="left"/>
      <w:pPr>
        <w:ind w:left="964" w:hanging="544"/>
      </w:pPr>
      <w:rPr>
        <w:rFonts w:hint="eastAsia"/>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6">
    <w:nsid w:val="0000000C"/>
    <w:multiLevelType w:val="multilevel"/>
    <w:tmpl w:val="0000000C"/>
    <w:lvl w:ilvl="0" w:tentative="0">
      <w:start w:val="36"/>
      <w:numFmt w:val="decimal"/>
      <w:lvlText w:val="%1.1 "/>
      <w:lvlJc w:val="left"/>
      <w:pPr>
        <w:ind w:left="964" w:hanging="544"/>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0000000E"/>
    <w:multiLevelType w:val="multilevel"/>
    <w:tmpl w:val="0000000E"/>
    <w:lvl w:ilvl="0" w:tentative="0">
      <w:start w:val="25"/>
      <w:numFmt w:val="decimal"/>
      <w:lvlText w:val="%1.1.1"/>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F"/>
    <w:multiLevelType w:val="multilevel"/>
    <w:tmpl w:val="0000000F"/>
    <w:lvl w:ilvl="0" w:tentative="0">
      <w:start w:val="9"/>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10"/>
    <w:multiLevelType w:val="multilevel"/>
    <w:tmpl w:val="00000010"/>
    <w:lvl w:ilvl="0" w:tentative="0">
      <w:start w:val="11"/>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11"/>
    <w:multiLevelType w:val="multilevel"/>
    <w:tmpl w:val="00000011"/>
    <w:lvl w:ilvl="0" w:tentative="0">
      <w:start w:val="1"/>
      <w:numFmt w:val="decimal"/>
      <w:lvlText w:val="%1."/>
      <w:lvlJc w:val="left"/>
      <w:pPr>
        <w:ind w:left="420" w:hanging="420"/>
      </w:pPr>
      <w:rPr>
        <w:rFonts w:hint="eastAsia"/>
      </w:rPr>
    </w:lvl>
    <w:lvl w:ilvl="1" w:tentative="0">
      <w:start w:val="2"/>
      <w:numFmt w:val="decimal"/>
      <w:isLgl/>
      <w:lvlText w:val="%1.%2"/>
      <w:lvlJc w:val="left"/>
      <w:pPr>
        <w:ind w:left="964" w:hanging="544"/>
      </w:pPr>
      <w:rPr>
        <w:rFonts w:hint="default" w:ascii="宋体" w:hAnsi="宋体" w:eastAsia="宋体"/>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11">
    <w:nsid w:val="00000012"/>
    <w:multiLevelType w:val="multilevel"/>
    <w:tmpl w:val="00000012"/>
    <w:lvl w:ilvl="0" w:tentative="0">
      <w:start w:val="25"/>
      <w:numFmt w:val="decimal"/>
      <w:lvlText w:val="%1.1.2"/>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13"/>
    <w:multiLevelType w:val="multilevel"/>
    <w:tmpl w:val="00000013"/>
    <w:lvl w:ilvl="0" w:tentative="0">
      <w:start w:val="3"/>
      <w:numFmt w:val="decimal"/>
      <w:lvlText w:val="%1.6.2"/>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14"/>
    <w:multiLevelType w:val="multilevel"/>
    <w:tmpl w:val="00000014"/>
    <w:lvl w:ilvl="0" w:tentative="0">
      <w:start w:val="3"/>
      <w:numFmt w:val="decimal"/>
      <w:lvlText w:val="%1.3.5"/>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15"/>
    <w:multiLevelType w:val="multilevel"/>
    <w:tmpl w:val="00000015"/>
    <w:lvl w:ilvl="0" w:tentative="0">
      <w:start w:val="9"/>
      <w:numFmt w:val="decimal"/>
      <w:lvlText w:val="%1.1.7"/>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6"/>
    <w:multiLevelType w:val="multilevel"/>
    <w:tmpl w:val="00000016"/>
    <w:lvl w:ilvl="0" w:tentative="0">
      <w:start w:val="3"/>
      <w:numFmt w:val="decimal"/>
      <w:lvlText w:val="%1.6.4"/>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19"/>
    <w:multiLevelType w:val="multilevel"/>
    <w:tmpl w:val="00000019"/>
    <w:lvl w:ilvl="0" w:tentative="0">
      <w:start w:val="30"/>
      <w:numFmt w:val="decimal"/>
      <w:lvlText w:val="%1."/>
      <w:lvlJc w:val="left"/>
      <w:pPr>
        <w:ind w:left="420" w:hanging="420"/>
      </w:pPr>
      <w:rPr>
        <w:rFonts w:hint="eastAsia"/>
      </w:rPr>
    </w:lvl>
    <w:lvl w:ilvl="1" w:tentative="0">
      <w:start w:val="29"/>
      <w:numFmt w:val="decimal"/>
      <w:lvlText w:val="%2.5 "/>
      <w:lvlJc w:val="left"/>
      <w:pPr>
        <w:ind w:left="964" w:hanging="544"/>
      </w:pPr>
      <w:rPr>
        <w:rFonts w:hint="eastAsia"/>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17">
    <w:nsid w:val="0000001A"/>
    <w:multiLevelType w:val="multilevel"/>
    <w:tmpl w:val="0000001A"/>
    <w:lvl w:ilvl="0" w:tentative="0">
      <w:start w:val="9"/>
      <w:numFmt w:val="decimal"/>
      <w:lvlText w:val="%1.1.9"/>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1B"/>
    <w:multiLevelType w:val="multilevel"/>
    <w:tmpl w:val="0000001B"/>
    <w:lvl w:ilvl="0" w:tentative="0">
      <w:start w:val="32"/>
      <w:numFmt w:val="decimal"/>
      <w:lvlText w:val="%1."/>
      <w:lvlJc w:val="left"/>
      <w:pPr>
        <w:ind w:left="420" w:hanging="420"/>
      </w:pPr>
      <w:rPr>
        <w:rFonts w:hint="eastAsia"/>
      </w:rPr>
    </w:lvl>
    <w:lvl w:ilvl="1" w:tentative="0">
      <w:start w:val="31"/>
      <w:numFmt w:val="decimal"/>
      <w:lvlText w:val="%2.1 "/>
      <w:lvlJc w:val="left"/>
      <w:pPr>
        <w:ind w:left="964" w:hanging="544"/>
      </w:pPr>
      <w:rPr>
        <w:rFonts w:hint="eastAsia"/>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19">
    <w:nsid w:val="0000001C"/>
    <w:multiLevelType w:val="multilevel"/>
    <w:tmpl w:val="0000001C"/>
    <w:lvl w:ilvl="0" w:tentative="0">
      <w:start w:val="9"/>
      <w:numFmt w:val="decimal"/>
      <w:lvlText w:val="%1.1.6"/>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1D"/>
    <w:multiLevelType w:val="multilevel"/>
    <w:tmpl w:val="0000001D"/>
    <w:lvl w:ilvl="0" w:tentative="0">
      <w:start w:val="3"/>
      <w:numFmt w:val="decimal"/>
      <w:lvlText w:val="%1.3.4"/>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000001F"/>
    <w:multiLevelType w:val="multilevel"/>
    <w:tmpl w:val="0000001F"/>
    <w:lvl w:ilvl="0" w:tentative="0">
      <w:start w:val="3"/>
      <w:numFmt w:val="decimal"/>
      <w:lvlText w:val="%1.3.3"/>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0000020"/>
    <w:multiLevelType w:val="multilevel"/>
    <w:tmpl w:val="00000020"/>
    <w:lvl w:ilvl="0" w:tentative="0">
      <w:start w:val="9"/>
      <w:numFmt w:val="decimal"/>
      <w:lvlText w:val="%1.1.1"/>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0000021"/>
    <w:multiLevelType w:val="multilevel"/>
    <w:tmpl w:val="00000021"/>
    <w:lvl w:ilvl="0" w:tentative="0">
      <w:start w:val="3"/>
      <w:numFmt w:val="decimal"/>
      <w:lvlText w:val="%1.3.2"/>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0000023"/>
    <w:multiLevelType w:val="multilevel"/>
    <w:tmpl w:val="00000023"/>
    <w:lvl w:ilvl="0" w:tentative="0">
      <w:start w:val="35"/>
      <w:numFmt w:val="decimal"/>
      <w:lvlText w:val="%1."/>
      <w:lvlJc w:val="left"/>
      <w:pPr>
        <w:ind w:left="420" w:hanging="420"/>
      </w:pPr>
      <w:rPr>
        <w:rFonts w:hint="eastAsia"/>
      </w:rPr>
    </w:lvl>
    <w:lvl w:ilvl="1" w:tentative="0">
      <w:start w:val="34"/>
      <w:numFmt w:val="decimal"/>
      <w:lvlText w:val="%2.1 "/>
      <w:lvlJc w:val="left"/>
      <w:pPr>
        <w:ind w:left="964" w:hanging="544"/>
      </w:pPr>
      <w:rPr>
        <w:rFonts w:hint="eastAsia"/>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25">
    <w:nsid w:val="00000024"/>
    <w:multiLevelType w:val="multilevel"/>
    <w:tmpl w:val="00000024"/>
    <w:lvl w:ilvl="0" w:tentative="0">
      <w:start w:val="9"/>
      <w:numFmt w:val="decimal"/>
      <w:lvlText w:val="%1.1.3"/>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0000025"/>
    <w:multiLevelType w:val="multilevel"/>
    <w:tmpl w:val="00000025"/>
    <w:lvl w:ilvl="0" w:tentative="0">
      <w:start w:val="28"/>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0000026"/>
    <w:multiLevelType w:val="multilevel"/>
    <w:tmpl w:val="00000026"/>
    <w:lvl w:ilvl="0" w:tentative="0">
      <w:start w:val="3"/>
      <w:numFmt w:val="decimal"/>
      <w:lvlText w:val="%1.6.5"/>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0000027"/>
    <w:multiLevelType w:val="multilevel"/>
    <w:tmpl w:val="00000027"/>
    <w:lvl w:ilvl="0" w:tentative="0">
      <w:start w:val="35"/>
      <w:numFmt w:val="decimal"/>
      <w:lvlText w:val="%1."/>
      <w:lvlJc w:val="left"/>
      <w:pPr>
        <w:ind w:left="420" w:hanging="420"/>
      </w:pPr>
      <w:rPr>
        <w:rFonts w:hint="eastAsia"/>
      </w:rPr>
    </w:lvl>
    <w:lvl w:ilvl="1" w:tentative="0">
      <w:start w:val="35"/>
      <w:numFmt w:val="decimal"/>
      <w:lvlText w:val="%2.2 "/>
      <w:lvlJc w:val="left"/>
      <w:pPr>
        <w:ind w:left="964" w:hanging="544"/>
      </w:pPr>
      <w:rPr>
        <w:rFonts w:hint="eastAsia"/>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29">
    <w:nsid w:val="00000029"/>
    <w:multiLevelType w:val="singleLevel"/>
    <w:tmpl w:val="00000029"/>
    <w:lvl w:ilvl="0" w:tentative="0">
      <w:start w:val="1"/>
      <w:numFmt w:val="chineseCounting"/>
      <w:pStyle w:val="50"/>
      <w:suff w:val="nothing"/>
      <w:lvlText w:val="%1、"/>
      <w:lvlJc w:val="left"/>
    </w:lvl>
  </w:abstractNum>
  <w:abstractNum w:abstractNumId="30">
    <w:nsid w:val="0000002A"/>
    <w:multiLevelType w:val="multilevel"/>
    <w:tmpl w:val="0000002A"/>
    <w:lvl w:ilvl="0" w:tentative="0">
      <w:start w:val="3"/>
      <w:numFmt w:val="decimal"/>
      <w:lvlText w:val="%1.6.1"/>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000002C"/>
    <w:multiLevelType w:val="multilevel"/>
    <w:tmpl w:val="0000002C"/>
    <w:lvl w:ilvl="0" w:tentative="0">
      <w:start w:val="3"/>
      <w:numFmt w:val="decimal"/>
      <w:lvlText w:val="%1.3.1"/>
      <w:lvlJc w:val="left"/>
      <w:pPr>
        <w:ind w:left="1411" w:hanging="420"/>
      </w:pPr>
      <w:rPr>
        <w:rFonts w:hint="eastAsia"/>
      </w:rPr>
    </w:lvl>
    <w:lvl w:ilvl="1" w:tentative="0">
      <w:start w:val="1"/>
      <w:numFmt w:val="lowerLetter"/>
      <w:lvlText w:val="%2)"/>
      <w:lvlJc w:val="left"/>
      <w:pPr>
        <w:ind w:left="1831" w:hanging="420"/>
      </w:pPr>
    </w:lvl>
    <w:lvl w:ilvl="2" w:tentative="0">
      <w:start w:val="1"/>
      <w:numFmt w:val="lowerRoman"/>
      <w:lvlText w:val="%3."/>
      <w:lvlJc w:val="right"/>
      <w:pPr>
        <w:ind w:left="2251" w:hanging="420"/>
      </w:pPr>
    </w:lvl>
    <w:lvl w:ilvl="3" w:tentative="0">
      <w:start w:val="1"/>
      <w:numFmt w:val="decimal"/>
      <w:lvlText w:val="%4."/>
      <w:lvlJc w:val="left"/>
      <w:pPr>
        <w:ind w:left="2671" w:hanging="420"/>
      </w:pPr>
    </w:lvl>
    <w:lvl w:ilvl="4" w:tentative="0">
      <w:start w:val="1"/>
      <w:numFmt w:val="lowerLetter"/>
      <w:lvlText w:val="%5)"/>
      <w:lvlJc w:val="left"/>
      <w:pPr>
        <w:ind w:left="3091" w:hanging="420"/>
      </w:pPr>
    </w:lvl>
    <w:lvl w:ilvl="5" w:tentative="0">
      <w:start w:val="1"/>
      <w:numFmt w:val="lowerRoman"/>
      <w:lvlText w:val="%6."/>
      <w:lvlJc w:val="right"/>
      <w:pPr>
        <w:ind w:left="3511" w:hanging="420"/>
      </w:pPr>
    </w:lvl>
    <w:lvl w:ilvl="6" w:tentative="0">
      <w:start w:val="1"/>
      <w:numFmt w:val="decimal"/>
      <w:lvlText w:val="%7."/>
      <w:lvlJc w:val="left"/>
      <w:pPr>
        <w:ind w:left="3931" w:hanging="420"/>
      </w:pPr>
    </w:lvl>
    <w:lvl w:ilvl="7" w:tentative="0">
      <w:start w:val="1"/>
      <w:numFmt w:val="lowerLetter"/>
      <w:lvlText w:val="%8)"/>
      <w:lvlJc w:val="left"/>
      <w:pPr>
        <w:ind w:left="4351" w:hanging="420"/>
      </w:pPr>
    </w:lvl>
    <w:lvl w:ilvl="8" w:tentative="0">
      <w:start w:val="1"/>
      <w:numFmt w:val="lowerRoman"/>
      <w:lvlText w:val="%9."/>
      <w:lvlJc w:val="right"/>
      <w:pPr>
        <w:ind w:left="4771" w:hanging="420"/>
      </w:pPr>
    </w:lvl>
  </w:abstractNum>
  <w:abstractNum w:abstractNumId="32">
    <w:nsid w:val="0000002D"/>
    <w:multiLevelType w:val="multilevel"/>
    <w:tmpl w:val="0000002D"/>
    <w:lvl w:ilvl="0" w:tentative="0">
      <w:start w:val="9"/>
      <w:numFmt w:val="decimal"/>
      <w:lvlText w:val="%1.1.4"/>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000002E"/>
    <w:multiLevelType w:val="multilevel"/>
    <w:tmpl w:val="0000002E"/>
    <w:lvl w:ilvl="0" w:tentative="0">
      <w:start w:val="33"/>
      <w:numFmt w:val="decimal"/>
      <w:lvlText w:val="%1."/>
      <w:lvlJc w:val="left"/>
      <w:pPr>
        <w:ind w:left="420" w:hanging="420"/>
      </w:pPr>
      <w:rPr>
        <w:rFonts w:hint="eastAsia"/>
      </w:rPr>
    </w:lvl>
    <w:lvl w:ilvl="1" w:tentative="0">
      <w:start w:val="33"/>
      <w:numFmt w:val="decimal"/>
      <w:lvlText w:val="%2.2 "/>
      <w:lvlJc w:val="left"/>
      <w:pPr>
        <w:ind w:left="964" w:hanging="544"/>
      </w:pPr>
      <w:rPr>
        <w:rFonts w:hint="eastAsia"/>
      </w:rPr>
    </w:lvl>
    <w:lvl w:ilvl="2" w:tentative="0">
      <w:start w:val="1"/>
      <w:numFmt w:val="decimal"/>
      <w:isLgl/>
      <w:lvlText w:val="%1.%2.%3"/>
      <w:lvlJc w:val="left"/>
      <w:pPr>
        <w:ind w:left="1560" w:hanging="720"/>
      </w:pPr>
      <w:rPr>
        <w:rFonts w:hint="default"/>
      </w:rPr>
    </w:lvl>
    <w:lvl w:ilvl="3" w:tentative="0">
      <w:start w:val="1"/>
      <w:numFmt w:val="decimal"/>
      <w:isLgl/>
      <w:lvlText w:val="%1.%2.%3.%4"/>
      <w:lvlJc w:val="left"/>
      <w:pPr>
        <w:ind w:left="2340" w:hanging="1080"/>
      </w:pPr>
      <w:rPr>
        <w:rFonts w:hint="default"/>
      </w:rPr>
    </w:lvl>
    <w:lvl w:ilvl="4" w:tentative="0">
      <w:start w:val="1"/>
      <w:numFmt w:val="decimal"/>
      <w:isLgl/>
      <w:lvlText w:val="%1.%2.%3.%4.%5"/>
      <w:lvlJc w:val="left"/>
      <w:pPr>
        <w:ind w:left="2760" w:hanging="1080"/>
      </w:pPr>
      <w:rPr>
        <w:rFonts w:hint="default"/>
      </w:rPr>
    </w:lvl>
    <w:lvl w:ilvl="5" w:tentative="0">
      <w:start w:val="1"/>
      <w:numFmt w:val="decimal"/>
      <w:isLgl/>
      <w:lvlText w:val="%1.%2.%3.%4.%5.%6"/>
      <w:lvlJc w:val="left"/>
      <w:pPr>
        <w:ind w:left="3540" w:hanging="1440"/>
      </w:pPr>
      <w:rPr>
        <w:rFonts w:hint="default"/>
      </w:rPr>
    </w:lvl>
    <w:lvl w:ilvl="6" w:tentative="0">
      <w:start w:val="1"/>
      <w:numFmt w:val="decimal"/>
      <w:isLgl/>
      <w:lvlText w:val="%1.%2.%3.%4.%5.%6.%7"/>
      <w:lvlJc w:val="left"/>
      <w:pPr>
        <w:ind w:left="3960" w:hanging="1440"/>
      </w:pPr>
      <w:rPr>
        <w:rFonts w:hint="default"/>
      </w:rPr>
    </w:lvl>
    <w:lvl w:ilvl="7" w:tentative="0">
      <w:start w:val="1"/>
      <w:numFmt w:val="decimal"/>
      <w:isLgl/>
      <w:lvlText w:val="%1.%2.%3.%4.%5.%6.%7.%8"/>
      <w:lvlJc w:val="left"/>
      <w:pPr>
        <w:ind w:left="4740" w:hanging="1800"/>
      </w:pPr>
      <w:rPr>
        <w:rFonts w:hint="default"/>
      </w:rPr>
    </w:lvl>
    <w:lvl w:ilvl="8" w:tentative="0">
      <w:start w:val="1"/>
      <w:numFmt w:val="decimal"/>
      <w:isLgl/>
      <w:lvlText w:val="%1.%2.%3.%4.%5.%6.%7.%8.%9"/>
      <w:lvlJc w:val="left"/>
      <w:pPr>
        <w:ind w:left="5160" w:hanging="1800"/>
      </w:pPr>
      <w:rPr>
        <w:rFonts w:hint="default"/>
      </w:rPr>
    </w:lvl>
  </w:abstractNum>
  <w:abstractNum w:abstractNumId="34">
    <w:nsid w:val="00000030"/>
    <w:multiLevelType w:val="multilevel"/>
    <w:tmpl w:val="00000030"/>
    <w:lvl w:ilvl="0" w:tentative="0">
      <w:start w:val="33"/>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0000031"/>
    <w:multiLevelType w:val="multilevel"/>
    <w:tmpl w:val="00000031"/>
    <w:lvl w:ilvl="0" w:tentative="0">
      <w:start w:val="1"/>
      <w:numFmt w:val="decimal"/>
      <w:lvlText w:val="%1.1 "/>
      <w:lvlJc w:val="left"/>
      <w:pPr>
        <w:ind w:left="964" w:hanging="544"/>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6">
    <w:nsid w:val="00000033"/>
    <w:multiLevelType w:val="multilevel"/>
    <w:tmpl w:val="00000033"/>
    <w:lvl w:ilvl="0" w:tentative="0">
      <w:start w:val="9"/>
      <w:numFmt w:val="decimal"/>
      <w:lvlText w:val="%1.1.5"/>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00000034"/>
    <w:multiLevelType w:val="multilevel"/>
    <w:tmpl w:val="00000034"/>
    <w:lvl w:ilvl="0" w:tentative="0">
      <w:start w:val="9"/>
      <w:numFmt w:val="decimal"/>
      <w:lvlText w:val="%1.1.2"/>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00000035"/>
    <w:multiLevelType w:val="multilevel"/>
    <w:tmpl w:val="00000035"/>
    <w:lvl w:ilvl="0" w:tentative="0">
      <w:start w:val="12"/>
      <w:numFmt w:val="decimal"/>
      <w:lvlText w:val="%1.1 "/>
      <w:lvlJc w:val="left"/>
      <w:pPr>
        <w:ind w:left="964" w:hanging="544"/>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00000036"/>
    <w:multiLevelType w:val="multilevel"/>
    <w:tmpl w:val="00000036"/>
    <w:lvl w:ilvl="0" w:tentative="0">
      <w:start w:val="3"/>
      <w:numFmt w:val="decimal"/>
      <w:lvlText w:val="%1.6.1"/>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00000037"/>
    <w:multiLevelType w:val="multilevel"/>
    <w:tmpl w:val="00000037"/>
    <w:lvl w:ilvl="0" w:tentative="0">
      <w:start w:val="9"/>
      <w:numFmt w:val="decimal"/>
      <w:lvlText w:val="%1.1.8"/>
      <w:lvlJc w:val="left"/>
      <w:pPr>
        <w:ind w:left="141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1329399D"/>
    <w:multiLevelType w:val="multilevel"/>
    <w:tmpl w:val="1329399D"/>
    <w:lvl w:ilvl="0" w:tentative="0">
      <w:start w:val="1"/>
      <w:numFmt w:val="chineseCountingThousand"/>
      <w:pStyle w:val="3"/>
      <w:suff w:val="nothing"/>
      <w:lvlText w:val="第%1部分"/>
      <w:lvlJc w:val="center"/>
      <w:pPr>
        <w:ind w:left="-288" w:firstLine="288"/>
      </w:pPr>
      <w:rPr>
        <w:rFonts w:hint="eastAsia"/>
        <w:sz w:val="28"/>
        <w:szCs w:val="28"/>
      </w:rPr>
    </w:lvl>
    <w:lvl w:ilvl="1" w:tentative="0">
      <w:start w:val="1"/>
      <w:numFmt w:val="chineseCountingThousand"/>
      <w:pStyle w:val="4"/>
      <w:suff w:val="nothing"/>
      <w:lvlText w:val="%2、"/>
      <w:lvlJc w:val="left"/>
      <w:pPr>
        <w:ind w:left="630" w:firstLine="0"/>
      </w:pPr>
      <w:rPr>
        <w:rFonts w:hint="eastAsia" w:ascii="宋体" w:hAnsi="宋体" w:eastAsia="宋体"/>
        <w:sz w:val="21"/>
        <w:szCs w:val="24"/>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pStyle w:val="6"/>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42">
    <w:nsid w:val="4022CD4E"/>
    <w:multiLevelType w:val="singleLevel"/>
    <w:tmpl w:val="4022CD4E"/>
    <w:lvl w:ilvl="0" w:tentative="0">
      <w:start w:val="3"/>
      <w:numFmt w:val="chineseCounting"/>
      <w:suff w:val="nothing"/>
      <w:lvlText w:val="%1、"/>
      <w:lvlJc w:val="left"/>
      <w:rPr>
        <w:rFonts w:hint="eastAsia"/>
      </w:rPr>
    </w:lvl>
  </w:abstractNum>
  <w:abstractNum w:abstractNumId="43">
    <w:nsid w:val="692D9217"/>
    <w:multiLevelType w:val="singleLevel"/>
    <w:tmpl w:val="692D9217"/>
    <w:lvl w:ilvl="0" w:tentative="0">
      <w:start w:val="1"/>
      <w:numFmt w:val="chineseCounting"/>
      <w:suff w:val="nothing"/>
      <w:lvlText w:val="%1、"/>
      <w:lvlJc w:val="left"/>
      <w:rPr>
        <w:rFonts w:hint="eastAsia"/>
      </w:rPr>
    </w:lvl>
  </w:abstractNum>
  <w:num w:numId="1">
    <w:abstractNumId w:val="41"/>
  </w:num>
  <w:num w:numId="2">
    <w:abstractNumId w:val="2"/>
  </w:num>
  <w:num w:numId="3">
    <w:abstractNumId w:val="29"/>
  </w:num>
  <w:num w:numId="4">
    <w:abstractNumId w:val="42"/>
  </w:num>
  <w:num w:numId="5">
    <w:abstractNumId w:val="1"/>
  </w:num>
  <w:num w:numId="6">
    <w:abstractNumId w:val="43"/>
  </w:num>
  <w:num w:numId="7">
    <w:abstractNumId w:val="10"/>
  </w:num>
  <w:num w:numId="8">
    <w:abstractNumId w:val="35"/>
  </w:num>
  <w:num w:numId="9">
    <w:abstractNumId w:val="31"/>
  </w:num>
  <w:num w:numId="10">
    <w:abstractNumId w:val="23"/>
  </w:num>
  <w:num w:numId="11">
    <w:abstractNumId w:val="21"/>
  </w:num>
  <w:num w:numId="12">
    <w:abstractNumId w:val="20"/>
  </w:num>
  <w:num w:numId="13">
    <w:abstractNumId w:val="13"/>
  </w:num>
  <w:num w:numId="14">
    <w:abstractNumId w:val="30"/>
  </w:num>
  <w:num w:numId="15">
    <w:abstractNumId w:val="12"/>
  </w:num>
  <w:num w:numId="16">
    <w:abstractNumId w:val="39"/>
  </w:num>
  <w:num w:numId="17">
    <w:abstractNumId w:val="15"/>
  </w:num>
  <w:num w:numId="18">
    <w:abstractNumId w:val="27"/>
  </w:num>
  <w:num w:numId="19">
    <w:abstractNumId w:val="8"/>
  </w:num>
  <w:num w:numId="20">
    <w:abstractNumId w:val="22"/>
  </w:num>
  <w:num w:numId="21">
    <w:abstractNumId w:val="37"/>
  </w:num>
  <w:num w:numId="22">
    <w:abstractNumId w:val="25"/>
  </w:num>
  <w:num w:numId="23">
    <w:abstractNumId w:val="32"/>
  </w:num>
  <w:num w:numId="24">
    <w:abstractNumId w:val="36"/>
  </w:num>
  <w:num w:numId="25">
    <w:abstractNumId w:val="19"/>
  </w:num>
  <w:num w:numId="26">
    <w:abstractNumId w:val="14"/>
  </w:num>
  <w:num w:numId="27">
    <w:abstractNumId w:val="40"/>
  </w:num>
  <w:num w:numId="28">
    <w:abstractNumId w:val="17"/>
  </w:num>
  <w:num w:numId="29">
    <w:abstractNumId w:val="9"/>
  </w:num>
  <w:num w:numId="30">
    <w:abstractNumId w:val="38"/>
  </w:num>
  <w:num w:numId="31">
    <w:abstractNumId w:val="3"/>
  </w:num>
  <w:num w:numId="32">
    <w:abstractNumId w:val="7"/>
  </w:num>
  <w:num w:numId="33">
    <w:abstractNumId w:val="11"/>
  </w:num>
  <w:num w:numId="34">
    <w:abstractNumId w:val="4"/>
  </w:num>
  <w:num w:numId="35">
    <w:abstractNumId w:val="26"/>
  </w:num>
  <w:num w:numId="36">
    <w:abstractNumId w:val="16"/>
  </w:num>
  <w:num w:numId="37">
    <w:abstractNumId w:val="18"/>
  </w:num>
  <w:num w:numId="38">
    <w:abstractNumId w:val="34"/>
  </w:num>
  <w:num w:numId="39">
    <w:abstractNumId w:val="33"/>
  </w:num>
  <w:num w:numId="40">
    <w:abstractNumId w:val="24"/>
  </w:num>
  <w:num w:numId="41">
    <w:abstractNumId w:val="28"/>
  </w:num>
  <w:num w:numId="42">
    <w:abstractNumId w:val="6"/>
  </w:num>
  <w:num w:numId="43">
    <w:abstractNumId w:val="5"/>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xYmYwOWIzMTI4ZGZkNTE0YjA4ZTE1ZWM0ZmFhZDcifQ=="/>
  </w:docVars>
  <w:rsids>
    <w:rsidRoot w:val="00CC539C"/>
    <w:rsid w:val="00003B8A"/>
    <w:rsid w:val="000D2B11"/>
    <w:rsid w:val="001744FD"/>
    <w:rsid w:val="00175FB0"/>
    <w:rsid w:val="001E29BA"/>
    <w:rsid w:val="00263B8C"/>
    <w:rsid w:val="00334EBB"/>
    <w:rsid w:val="00343E9C"/>
    <w:rsid w:val="003550AC"/>
    <w:rsid w:val="003838C2"/>
    <w:rsid w:val="00461D28"/>
    <w:rsid w:val="0046550B"/>
    <w:rsid w:val="004B0D73"/>
    <w:rsid w:val="004E2611"/>
    <w:rsid w:val="00541128"/>
    <w:rsid w:val="0058148A"/>
    <w:rsid w:val="005E3CE2"/>
    <w:rsid w:val="00613301"/>
    <w:rsid w:val="00613A01"/>
    <w:rsid w:val="006B7BB6"/>
    <w:rsid w:val="00837887"/>
    <w:rsid w:val="008A2767"/>
    <w:rsid w:val="00907F95"/>
    <w:rsid w:val="0091654E"/>
    <w:rsid w:val="00996A93"/>
    <w:rsid w:val="00A1110A"/>
    <w:rsid w:val="00A3295D"/>
    <w:rsid w:val="00A55B4F"/>
    <w:rsid w:val="00B16E9F"/>
    <w:rsid w:val="00B44825"/>
    <w:rsid w:val="00B47022"/>
    <w:rsid w:val="00B5443F"/>
    <w:rsid w:val="00B640AB"/>
    <w:rsid w:val="00B74CC1"/>
    <w:rsid w:val="00C13FFB"/>
    <w:rsid w:val="00C17639"/>
    <w:rsid w:val="00C50EA8"/>
    <w:rsid w:val="00CA7035"/>
    <w:rsid w:val="00CC539C"/>
    <w:rsid w:val="00D9637F"/>
    <w:rsid w:val="00DB1657"/>
    <w:rsid w:val="00E5256D"/>
    <w:rsid w:val="00EC5C36"/>
    <w:rsid w:val="00F02F8F"/>
    <w:rsid w:val="00F27441"/>
    <w:rsid w:val="00F336E2"/>
    <w:rsid w:val="00F83B90"/>
    <w:rsid w:val="010F3518"/>
    <w:rsid w:val="011863EE"/>
    <w:rsid w:val="0119565C"/>
    <w:rsid w:val="01213882"/>
    <w:rsid w:val="012A6BDB"/>
    <w:rsid w:val="012E1F25"/>
    <w:rsid w:val="013B4944"/>
    <w:rsid w:val="01687703"/>
    <w:rsid w:val="016B1F40"/>
    <w:rsid w:val="016F4F85"/>
    <w:rsid w:val="017B11E4"/>
    <w:rsid w:val="017C2571"/>
    <w:rsid w:val="017C6D0A"/>
    <w:rsid w:val="01822573"/>
    <w:rsid w:val="018256D9"/>
    <w:rsid w:val="018737B7"/>
    <w:rsid w:val="019422A6"/>
    <w:rsid w:val="01A26771"/>
    <w:rsid w:val="01A96C88"/>
    <w:rsid w:val="01AE3368"/>
    <w:rsid w:val="01C419B3"/>
    <w:rsid w:val="01DB1C83"/>
    <w:rsid w:val="01E23011"/>
    <w:rsid w:val="01E4322D"/>
    <w:rsid w:val="01F33470"/>
    <w:rsid w:val="01F35E6B"/>
    <w:rsid w:val="020224D7"/>
    <w:rsid w:val="02094A42"/>
    <w:rsid w:val="021A27AB"/>
    <w:rsid w:val="02201D8C"/>
    <w:rsid w:val="02213D2E"/>
    <w:rsid w:val="0221509D"/>
    <w:rsid w:val="022B0E5C"/>
    <w:rsid w:val="02450E6F"/>
    <w:rsid w:val="024B6E08"/>
    <w:rsid w:val="0270061D"/>
    <w:rsid w:val="02702D13"/>
    <w:rsid w:val="027A149C"/>
    <w:rsid w:val="027C3466"/>
    <w:rsid w:val="029A1B3E"/>
    <w:rsid w:val="02A824AD"/>
    <w:rsid w:val="02AD7AC3"/>
    <w:rsid w:val="02B01361"/>
    <w:rsid w:val="02C92423"/>
    <w:rsid w:val="02CD5A6F"/>
    <w:rsid w:val="02D037B2"/>
    <w:rsid w:val="02DC2156"/>
    <w:rsid w:val="02E61E40"/>
    <w:rsid w:val="02E75A12"/>
    <w:rsid w:val="02F474A0"/>
    <w:rsid w:val="02FC6355"/>
    <w:rsid w:val="03057A39"/>
    <w:rsid w:val="03130FFF"/>
    <w:rsid w:val="032A1114"/>
    <w:rsid w:val="032B09E8"/>
    <w:rsid w:val="032E4C8E"/>
    <w:rsid w:val="03394EB3"/>
    <w:rsid w:val="033A4455"/>
    <w:rsid w:val="033C7E53"/>
    <w:rsid w:val="034675D0"/>
    <w:rsid w:val="0357686D"/>
    <w:rsid w:val="03643416"/>
    <w:rsid w:val="0370464D"/>
    <w:rsid w:val="037E417D"/>
    <w:rsid w:val="038F0F77"/>
    <w:rsid w:val="038F5F0B"/>
    <w:rsid w:val="03936CB9"/>
    <w:rsid w:val="03A74512"/>
    <w:rsid w:val="03A82039"/>
    <w:rsid w:val="03BA2ABC"/>
    <w:rsid w:val="03BC4BD4"/>
    <w:rsid w:val="03D746CC"/>
    <w:rsid w:val="03EF12F5"/>
    <w:rsid w:val="03F92894"/>
    <w:rsid w:val="03FF60FC"/>
    <w:rsid w:val="04080896"/>
    <w:rsid w:val="041A0672"/>
    <w:rsid w:val="04351B1E"/>
    <w:rsid w:val="043C65FE"/>
    <w:rsid w:val="04404B69"/>
    <w:rsid w:val="04504BAA"/>
    <w:rsid w:val="04602913"/>
    <w:rsid w:val="046B5540"/>
    <w:rsid w:val="04730898"/>
    <w:rsid w:val="047C50C1"/>
    <w:rsid w:val="047F0FEB"/>
    <w:rsid w:val="047F11D6"/>
    <w:rsid w:val="048C3056"/>
    <w:rsid w:val="048C54B6"/>
    <w:rsid w:val="04910D1F"/>
    <w:rsid w:val="04A40A52"/>
    <w:rsid w:val="04A44EF6"/>
    <w:rsid w:val="04BD7D66"/>
    <w:rsid w:val="04BF3ADE"/>
    <w:rsid w:val="04CC3487"/>
    <w:rsid w:val="04EE4C43"/>
    <w:rsid w:val="04F414A2"/>
    <w:rsid w:val="04F74647"/>
    <w:rsid w:val="04FE63B4"/>
    <w:rsid w:val="050D4477"/>
    <w:rsid w:val="051A6F66"/>
    <w:rsid w:val="051F35E9"/>
    <w:rsid w:val="05373674"/>
    <w:rsid w:val="054D2E98"/>
    <w:rsid w:val="055A55B4"/>
    <w:rsid w:val="0560706F"/>
    <w:rsid w:val="056703FD"/>
    <w:rsid w:val="05681A7F"/>
    <w:rsid w:val="05686283"/>
    <w:rsid w:val="056B77C2"/>
    <w:rsid w:val="05704DD8"/>
    <w:rsid w:val="057130F8"/>
    <w:rsid w:val="057A17B3"/>
    <w:rsid w:val="05850883"/>
    <w:rsid w:val="058A2584"/>
    <w:rsid w:val="05924D4E"/>
    <w:rsid w:val="05946E4A"/>
    <w:rsid w:val="059C5BCD"/>
    <w:rsid w:val="05A14F91"/>
    <w:rsid w:val="05B570F9"/>
    <w:rsid w:val="05BD626F"/>
    <w:rsid w:val="05EB7BFE"/>
    <w:rsid w:val="05F64081"/>
    <w:rsid w:val="05FC2D90"/>
    <w:rsid w:val="06011662"/>
    <w:rsid w:val="06013AFA"/>
    <w:rsid w:val="06175254"/>
    <w:rsid w:val="061E4834"/>
    <w:rsid w:val="062005AC"/>
    <w:rsid w:val="062260D2"/>
    <w:rsid w:val="062A086E"/>
    <w:rsid w:val="06345E06"/>
    <w:rsid w:val="0639341C"/>
    <w:rsid w:val="06564D7B"/>
    <w:rsid w:val="066606B5"/>
    <w:rsid w:val="066C358D"/>
    <w:rsid w:val="067508F8"/>
    <w:rsid w:val="067C0116"/>
    <w:rsid w:val="068079F5"/>
    <w:rsid w:val="06C62F02"/>
    <w:rsid w:val="06E67100"/>
    <w:rsid w:val="06E93094"/>
    <w:rsid w:val="06FF6413"/>
    <w:rsid w:val="07017C0B"/>
    <w:rsid w:val="072051B0"/>
    <w:rsid w:val="07210DA5"/>
    <w:rsid w:val="072145DC"/>
    <w:rsid w:val="07241C47"/>
    <w:rsid w:val="072D6233"/>
    <w:rsid w:val="073A38EF"/>
    <w:rsid w:val="07402F73"/>
    <w:rsid w:val="07481B68"/>
    <w:rsid w:val="07482B33"/>
    <w:rsid w:val="07511298"/>
    <w:rsid w:val="07520C39"/>
    <w:rsid w:val="07524795"/>
    <w:rsid w:val="075524D7"/>
    <w:rsid w:val="076004C6"/>
    <w:rsid w:val="07827CC7"/>
    <w:rsid w:val="07A3245B"/>
    <w:rsid w:val="07BB67DE"/>
    <w:rsid w:val="07BF6BCB"/>
    <w:rsid w:val="07C83253"/>
    <w:rsid w:val="07ED1622"/>
    <w:rsid w:val="080556B6"/>
    <w:rsid w:val="08275F44"/>
    <w:rsid w:val="08360110"/>
    <w:rsid w:val="08470072"/>
    <w:rsid w:val="084A7243"/>
    <w:rsid w:val="087E15BA"/>
    <w:rsid w:val="089308B7"/>
    <w:rsid w:val="089D7C92"/>
    <w:rsid w:val="089E3BC5"/>
    <w:rsid w:val="08BB337A"/>
    <w:rsid w:val="08BF0993"/>
    <w:rsid w:val="08DE3F67"/>
    <w:rsid w:val="08EC29C7"/>
    <w:rsid w:val="090C4E18"/>
    <w:rsid w:val="090D12BC"/>
    <w:rsid w:val="091033DE"/>
    <w:rsid w:val="09151419"/>
    <w:rsid w:val="09241EF1"/>
    <w:rsid w:val="09287EA3"/>
    <w:rsid w:val="09372935"/>
    <w:rsid w:val="093A0DE5"/>
    <w:rsid w:val="09401D53"/>
    <w:rsid w:val="094B38F4"/>
    <w:rsid w:val="094C55D1"/>
    <w:rsid w:val="09630EDC"/>
    <w:rsid w:val="09711666"/>
    <w:rsid w:val="09773D0A"/>
    <w:rsid w:val="09A60DC8"/>
    <w:rsid w:val="09AD66F7"/>
    <w:rsid w:val="09B37885"/>
    <w:rsid w:val="09C53944"/>
    <w:rsid w:val="09F61D50"/>
    <w:rsid w:val="09F67FE5"/>
    <w:rsid w:val="09FA0BED"/>
    <w:rsid w:val="0A0124A3"/>
    <w:rsid w:val="0A073F5D"/>
    <w:rsid w:val="0A0A0447"/>
    <w:rsid w:val="0A0B79C3"/>
    <w:rsid w:val="0A2F7010"/>
    <w:rsid w:val="0A3E54A5"/>
    <w:rsid w:val="0A5718B5"/>
    <w:rsid w:val="0A59408D"/>
    <w:rsid w:val="0A5C1B3B"/>
    <w:rsid w:val="0A650C83"/>
    <w:rsid w:val="0A8F5D00"/>
    <w:rsid w:val="0A981059"/>
    <w:rsid w:val="0AB319EF"/>
    <w:rsid w:val="0ABD0ABF"/>
    <w:rsid w:val="0AE0030A"/>
    <w:rsid w:val="0AE65372"/>
    <w:rsid w:val="0B071D3B"/>
    <w:rsid w:val="0B15763D"/>
    <w:rsid w:val="0B1D155E"/>
    <w:rsid w:val="0B202D61"/>
    <w:rsid w:val="0B2378E1"/>
    <w:rsid w:val="0B265290"/>
    <w:rsid w:val="0B3D750A"/>
    <w:rsid w:val="0B3F48BC"/>
    <w:rsid w:val="0B424B21"/>
    <w:rsid w:val="0B541AF5"/>
    <w:rsid w:val="0B562889"/>
    <w:rsid w:val="0B766F39"/>
    <w:rsid w:val="0B7C0033"/>
    <w:rsid w:val="0B896BF3"/>
    <w:rsid w:val="0B9E5369"/>
    <w:rsid w:val="0BA15CEB"/>
    <w:rsid w:val="0BA8707A"/>
    <w:rsid w:val="0BB51797"/>
    <w:rsid w:val="0BB772BD"/>
    <w:rsid w:val="0BC66E2F"/>
    <w:rsid w:val="0BCA6C50"/>
    <w:rsid w:val="0BF21B85"/>
    <w:rsid w:val="0BFF5852"/>
    <w:rsid w:val="0C0F70F9"/>
    <w:rsid w:val="0C14470F"/>
    <w:rsid w:val="0C193AD3"/>
    <w:rsid w:val="0C300E1D"/>
    <w:rsid w:val="0C30706F"/>
    <w:rsid w:val="0C3C3C66"/>
    <w:rsid w:val="0C3C5C5D"/>
    <w:rsid w:val="0C4072B2"/>
    <w:rsid w:val="0C407E15"/>
    <w:rsid w:val="0C4D5E73"/>
    <w:rsid w:val="0C555C0D"/>
    <w:rsid w:val="0C5764CE"/>
    <w:rsid w:val="0C5E06F5"/>
    <w:rsid w:val="0C637445"/>
    <w:rsid w:val="0C676F35"/>
    <w:rsid w:val="0C762CD4"/>
    <w:rsid w:val="0C871385"/>
    <w:rsid w:val="0C874EE1"/>
    <w:rsid w:val="0C8A2C23"/>
    <w:rsid w:val="0C8D0E33"/>
    <w:rsid w:val="0C9E0F7C"/>
    <w:rsid w:val="0CAF268A"/>
    <w:rsid w:val="0CC31D23"/>
    <w:rsid w:val="0CC51EAD"/>
    <w:rsid w:val="0CC7352F"/>
    <w:rsid w:val="0CDD0FA5"/>
    <w:rsid w:val="0CE340E1"/>
    <w:rsid w:val="0CE85100"/>
    <w:rsid w:val="0CE967AF"/>
    <w:rsid w:val="0CEF77EF"/>
    <w:rsid w:val="0CF14A50"/>
    <w:rsid w:val="0CF462EF"/>
    <w:rsid w:val="0CF85DDF"/>
    <w:rsid w:val="0D18262C"/>
    <w:rsid w:val="0D2E7A52"/>
    <w:rsid w:val="0D336E17"/>
    <w:rsid w:val="0D35493D"/>
    <w:rsid w:val="0D3E658C"/>
    <w:rsid w:val="0D4A1241"/>
    <w:rsid w:val="0D561D52"/>
    <w:rsid w:val="0D58062B"/>
    <w:rsid w:val="0D63594E"/>
    <w:rsid w:val="0D6715AA"/>
    <w:rsid w:val="0D7A67F4"/>
    <w:rsid w:val="0D7A7B8E"/>
    <w:rsid w:val="0D841421"/>
    <w:rsid w:val="0D870F11"/>
    <w:rsid w:val="0D8D4779"/>
    <w:rsid w:val="0D95362E"/>
    <w:rsid w:val="0DBC5FC0"/>
    <w:rsid w:val="0DBD4932"/>
    <w:rsid w:val="0DBF4B4E"/>
    <w:rsid w:val="0DD56120"/>
    <w:rsid w:val="0DDC125D"/>
    <w:rsid w:val="0DE13B1F"/>
    <w:rsid w:val="0DEB76F2"/>
    <w:rsid w:val="0DED6FC6"/>
    <w:rsid w:val="0DF74D69"/>
    <w:rsid w:val="0E107158"/>
    <w:rsid w:val="0E356BBF"/>
    <w:rsid w:val="0E372DD1"/>
    <w:rsid w:val="0E4F1A2E"/>
    <w:rsid w:val="0E523019"/>
    <w:rsid w:val="0E527771"/>
    <w:rsid w:val="0E547045"/>
    <w:rsid w:val="0E6D0107"/>
    <w:rsid w:val="0E727FFF"/>
    <w:rsid w:val="0E792F4F"/>
    <w:rsid w:val="0E9A18BE"/>
    <w:rsid w:val="0EA63619"/>
    <w:rsid w:val="0EBB5316"/>
    <w:rsid w:val="0ED10695"/>
    <w:rsid w:val="0ED62150"/>
    <w:rsid w:val="0ED63EFE"/>
    <w:rsid w:val="0EDB32C2"/>
    <w:rsid w:val="0EE02FCE"/>
    <w:rsid w:val="0F0E18EA"/>
    <w:rsid w:val="0F117BA7"/>
    <w:rsid w:val="0F291509"/>
    <w:rsid w:val="0F3B6457"/>
    <w:rsid w:val="0F580DB7"/>
    <w:rsid w:val="0F595162"/>
    <w:rsid w:val="0F6C03BE"/>
    <w:rsid w:val="0F9A753D"/>
    <w:rsid w:val="0FA20284"/>
    <w:rsid w:val="0FAB7138"/>
    <w:rsid w:val="0FB775B8"/>
    <w:rsid w:val="0FBD4A0B"/>
    <w:rsid w:val="0FEE34C9"/>
    <w:rsid w:val="1001144E"/>
    <w:rsid w:val="10134CDE"/>
    <w:rsid w:val="101E5B5C"/>
    <w:rsid w:val="10207B26"/>
    <w:rsid w:val="102748C3"/>
    <w:rsid w:val="10274F9A"/>
    <w:rsid w:val="103C5816"/>
    <w:rsid w:val="10581601"/>
    <w:rsid w:val="10606175"/>
    <w:rsid w:val="10796BCB"/>
    <w:rsid w:val="10AA3690"/>
    <w:rsid w:val="10C06C14"/>
    <w:rsid w:val="10EA3C90"/>
    <w:rsid w:val="11056D1C"/>
    <w:rsid w:val="111A671C"/>
    <w:rsid w:val="111E1B8C"/>
    <w:rsid w:val="114C66F9"/>
    <w:rsid w:val="114E0BEB"/>
    <w:rsid w:val="114F7F97"/>
    <w:rsid w:val="11551A52"/>
    <w:rsid w:val="115B06EA"/>
    <w:rsid w:val="115D048A"/>
    <w:rsid w:val="1170063A"/>
    <w:rsid w:val="118063A3"/>
    <w:rsid w:val="118E0AC0"/>
    <w:rsid w:val="119105B0"/>
    <w:rsid w:val="11963E18"/>
    <w:rsid w:val="11C20769"/>
    <w:rsid w:val="11D0797A"/>
    <w:rsid w:val="11D962E8"/>
    <w:rsid w:val="11DB1ED4"/>
    <w:rsid w:val="11E42DD6"/>
    <w:rsid w:val="11EF7166"/>
    <w:rsid w:val="11F00ADF"/>
    <w:rsid w:val="11F1714C"/>
    <w:rsid w:val="11F72B09"/>
    <w:rsid w:val="121216F1"/>
    <w:rsid w:val="12145696"/>
    <w:rsid w:val="122A4C8C"/>
    <w:rsid w:val="1232588C"/>
    <w:rsid w:val="12411FD6"/>
    <w:rsid w:val="12485112"/>
    <w:rsid w:val="124D22BA"/>
    <w:rsid w:val="12580ADD"/>
    <w:rsid w:val="125F1961"/>
    <w:rsid w:val="126B0E01"/>
    <w:rsid w:val="126D2EF5"/>
    <w:rsid w:val="127777A6"/>
    <w:rsid w:val="127952CC"/>
    <w:rsid w:val="12906AB9"/>
    <w:rsid w:val="129156AF"/>
    <w:rsid w:val="129245E0"/>
    <w:rsid w:val="129569A6"/>
    <w:rsid w:val="12975847"/>
    <w:rsid w:val="12A04F4F"/>
    <w:rsid w:val="12C329EB"/>
    <w:rsid w:val="12C33160"/>
    <w:rsid w:val="12D746E8"/>
    <w:rsid w:val="12DA1AE3"/>
    <w:rsid w:val="12FE1C75"/>
    <w:rsid w:val="131119A8"/>
    <w:rsid w:val="132179FB"/>
    <w:rsid w:val="13442EB6"/>
    <w:rsid w:val="134D0507"/>
    <w:rsid w:val="13620456"/>
    <w:rsid w:val="13665089"/>
    <w:rsid w:val="136A10B9"/>
    <w:rsid w:val="136F4921"/>
    <w:rsid w:val="13702708"/>
    <w:rsid w:val="1399374C"/>
    <w:rsid w:val="13A42943"/>
    <w:rsid w:val="13A879AD"/>
    <w:rsid w:val="13AC7923"/>
    <w:rsid w:val="13BE1478"/>
    <w:rsid w:val="13C133CE"/>
    <w:rsid w:val="13C95DDF"/>
    <w:rsid w:val="13CA16CE"/>
    <w:rsid w:val="13DC24DA"/>
    <w:rsid w:val="13E250F3"/>
    <w:rsid w:val="13E27539"/>
    <w:rsid w:val="13EC7D20"/>
    <w:rsid w:val="13F1175B"/>
    <w:rsid w:val="13F6294C"/>
    <w:rsid w:val="140137CB"/>
    <w:rsid w:val="140C03C2"/>
    <w:rsid w:val="140E20B3"/>
    <w:rsid w:val="14107EB2"/>
    <w:rsid w:val="141352AC"/>
    <w:rsid w:val="14184FB8"/>
    <w:rsid w:val="142179C9"/>
    <w:rsid w:val="14261483"/>
    <w:rsid w:val="14373691"/>
    <w:rsid w:val="143F60A1"/>
    <w:rsid w:val="144B07D6"/>
    <w:rsid w:val="145520D2"/>
    <w:rsid w:val="149363ED"/>
    <w:rsid w:val="149C7658"/>
    <w:rsid w:val="14A237DC"/>
    <w:rsid w:val="14A405FA"/>
    <w:rsid w:val="14A5684C"/>
    <w:rsid w:val="14A835F2"/>
    <w:rsid w:val="14AE7A5B"/>
    <w:rsid w:val="14B00D4D"/>
    <w:rsid w:val="14B57CBE"/>
    <w:rsid w:val="14B62AB7"/>
    <w:rsid w:val="14B6546F"/>
    <w:rsid w:val="14CA0061"/>
    <w:rsid w:val="14CD4474"/>
    <w:rsid w:val="14D1275B"/>
    <w:rsid w:val="14D42C8D"/>
    <w:rsid w:val="14E223AA"/>
    <w:rsid w:val="14E60DB7"/>
    <w:rsid w:val="14E777B8"/>
    <w:rsid w:val="14E86739"/>
    <w:rsid w:val="14EF5D19"/>
    <w:rsid w:val="14F74BCE"/>
    <w:rsid w:val="1503537E"/>
    <w:rsid w:val="150C520A"/>
    <w:rsid w:val="1546345F"/>
    <w:rsid w:val="1548367B"/>
    <w:rsid w:val="154D0C92"/>
    <w:rsid w:val="155913E5"/>
    <w:rsid w:val="1598015F"/>
    <w:rsid w:val="15AE34DE"/>
    <w:rsid w:val="15B14D7D"/>
    <w:rsid w:val="15C9016D"/>
    <w:rsid w:val="15C947BC"/>
    <w:rsid w:val="15D10ABF"/>
    <w:rsid w:val="15D53161"/>
    <w:rsid w:val="15DF5D8E"/>
    <w:rsid w:val="15DF7B3C"/>
    <w:rsid w:val="15EC04AB"/>
    <w:rsid w:val="15EC2259"/>
    <w:rsid w:val="15FA677C"/>
    <w:rsid w:val="160C7839"/>
    <w:rsid w:val="160D5E25"/>
    <w:rsid w:val="160E21CF"/>
    <w:rsid w:val="160E6673"/>
    <w:rsid w:val="162023F7"/>
    <w:rsid w:val="16297009"/>
    <w:rsid w:val="162F2B1B"/>
    <w:rsid w:val="163369AD"/>
    <w:rsid w:val="163C4F8E"/>
    <w:rsid w:val="1642631D"/>
    <w:rsid w:val="16492A3A"/>
    <w:rsid w:val="16500A3A"/>
    <w:rsid w:val="1653052A"/>
    <w:rsid w:val="165D1EF2"/>
    <w:rsid w:val="16610551"/>
    <w:rsid w:val="1666025D"/>
    <w:rsid w:val="166654D8"/>
    <w:rsid w:val="166E7112"/>
    <w:rsid w:val="16713C97"/>
    <w:rsid w:val="168801D3"/>
    <w:rsid w:val="168B1A72"/>
    <w:rsid w:val="168B3820"/>
    <w:rsid w:val="16963CDE"/>
    <w:rsid w:val="169D3553"/>
    <w:rsid w:val="16BD32EE"/>
    <w:rsid w:val="16BE1E47"/>
    <w:rsid w:val="16BE59A3"/>
    <w:rsid w:val="16D1671C"/>
    <w:rsid w:val="16DE4297"/>
    <w:rsid w:val="16E64EFA"/>
    <w:rsid w:val="16FC296F"/>
    <w:rsid w:val="1700420E"/>
    <w:rsid w:val="1719707D"/>
    <w:rsid w:val="1732013F"/>
    <w:rsid w:val="17367C2F"/>
    <w:rsid w:val="173E0892"/>
    <w:rsid w:val="1743234C"/>
    <w:rsid w:val="17435EA8"/>
    <w:rsid w:val="174D4F79"/>
    <w:rsid w:val="17575DF8"/>
    <w:rsid w:val="1767428D"/>
    <w:rsid w:val="177B1AE6"/>
    <w:rsid w:val="17832749"/>
    <w:rsid w:val="17850BFD"/>
    <w:rsid w:val="17887D5F"/>
    <w:rsid w:val="1792085C"/>
    <w:rsid w:val="1798728D"/>
    <w:rsid w:val="17A10E21"/>
    <w:rsid w:val="17B60D70"/>
    <w:rsid w:val="17BB6EEA"/>
    <w:rsid w:val="17C00501"/>
    <w:rsid w:val="17CE7E68"/>
    <w:rsid w:val="17D17BE5"/>
    <w:rsid w:val="17EB6C6C"/>
    <w:rsid w:val="17EE08FE"/>
    <w:rsid w:val="17FF37E5"/>
    <w:rsid w:val="1800023D"/>
    <w:rsid w:val="18190834"/>
    <w:rsid w:val="181E2472"/>
    <w:rsid w:val="18267CA4"/>
    <w:rsid w:val="18561C0B"/>
    <w:rsid w:val="185760AF"/>
    <w:rsid w:val="186005E0"/>
    <w:rsid w:val="18697B91"/>
    <w:rsid w:val="187F3B68"/>
    <w:rsid w:val="1885173F"/>
    <w:rsid w:val="189741B2"/>
    <w:rsid w:val="189C1D14"/>
    <w:rsid w:val="18B41207"/>
    <w:rsid w:val="18B9227F"/>
    <w:rsid w:val="18BF5A03"/>
    <w:rsid w:val="18D94D16"/>
    <w:rsid w:val="18E35B95"/>
    <w:rsid w:val="18E84F59"/>
    <w:rsid w:val="18FA6C07"/>
    <w:rsid w:val="19037FE5"/>
    <w:rsid w:val="190E1EF2"/>
    <w:rsid w:val="191242AE"/>
    <w:rsid w:val="19137AFC"/>
    <w:rsid w:val="196071E6"/>
    <w:rsid w:val="19747296"/>
    <w:rsid w:val="198729C4"/>
    <w:rsid w:val="198A6011"/>
    <w:rsid w:val="19A96195"/>
    <w:rsid w:val="19BE443D"/>
    <w:rsid w:val="19C31F0E"/>
    <w:rsid w:val="19CE7259"/>
    <w:rsid w:val="19DD0836"/>
    <w:rsid w:val="19E03E83"/>
    <w:rsid w:val="19E25E4D"/>
    <w:rsid w:val="19EF2318"/>
    <w:rsid w:val="19FF69FF"/>
    <w:rsid w:val="1A00033B"/>
    <w:rsid w:val="1A045DC3"/>
    <w:rsid w:val="1A083064"/>
    <w:rsid w:val="1A1324AA"/>
    <w:rsid w:val="1A165AF6"/>
    <w:rsid w:val="1A1A3838"/>
    <w:rsid w:val="1A2F6BB8"/>
    <w:rsid w:val="1A3366A8"/>
    <w:rsid w:val="1A402B73"/>
    <w:rsid w:val="1A4408B5"/>
    <w:rsid w:val="1A473F02"/>
    <w:rsid w:val="1A4C32C6"/>
    <w:rsid w:val="1A54439E"/>
    <w:rsid w:val="1A73725E"/>
    <w:rsid w:val="1A8034BB"/>
    <w:rsid w:val="1A8E38DF"/>
    <w:rsid w:val="1A915FCF"/>
    <w:rsid w:val="1AA077FF"/>
    <w:rsid w:val="1AA66E7A"/>
    <w:rsid w:val="1AAF0857"/>
    <w:rsid w:val="1AB33B39"/>
    <w:rsid w:val="1ABC48F0"/>
    <w:rsid w:val="1ABD5F72"/>
    <w:rsid w:val="1AC27A2C"/>
    <w:rsid w:val="1AC55E4C"/>
    <w:rsid w:val="1ADF238C"/>
    <w:rsid w:val="1AE17EB2"/>
    <w:rsid w:val="1AEB6F83"/>
    <w:rsid w:val="1AF2200F"/>
    <w:rsid w:val="1B155DAE"/>
    <w:rsid w:val="1B291859"/>
    <w:rsid w:val="1B312FD7"/>
    <w:rsid w:val="1B375D24"/>
    <w:rsid w:val="1B3A3A66"/>
    <w:rsid w:val="1B5543FC"/>
    <w:rsid w:val="1B5B5EB7"/>
    <w:rsid w:val="1B6B4BEC"/>
    <w:rsid w:val="1B8E6E35"/>
    <w:rsid w:val="1B9162D4"/>
    <w:rsid w:val="1B925650"/>
    <w:rsid w:val="1B99253B"/>
    <w:rsid w:val="1BA13E6B"/>
    <w:rsid w:val="1BAD248A"/>
    <w:rsid w:val="1BB90E2F"/>
    <w:rsid w:val="1BB9498B"/>
    <w:rsid w:val="1BCA4936"/>
    <w:rsid w:val="1BD13FDD"/>
    <w:rsid w:val="1BD25A4D"/>
    <w:rsid w:val="1BDE538A"/>
    <w:rsid w:val="1BE35EAC"/>
    <w:rsid w:val="1BE51C24"/>
    <w:rsid w:val="1BF34341"/>
    <w:rsid w:val="1BFC2ACA"/>
    <w:rsid w:val="1C057941"/>
    <w:rsid w:val="1C1722F6"/>
    <w:rsid w:val="1C204A0A"/>
    <w:rsid w:val="1C35495A"/>
    <w:rsid w:val="1C4306F9"/>
    <w:rsid w:val="1C444B9D"/>
    <w:rsid w:val="1C470485"/>
    <w:rsid w:val="1C50547E"/>
    <w:rsid w:val="1C5365F7"/>
    <w:rsid w:val="1C5D12C5"/>
    <w:rsid w:val="1C625023"/>
    <w:rsid w:val="1C744D56"/>
    <w:rsid w:val="1C7D5E5A"/>
    <w:rsid w:val="1C7F315A"/>
    <w:rsid w:val="1C823DEC"/>
    <w:rsid w:val="1C84143D"/>
    <w:rsid w:val="1C890801"/>
    <w:rsid w:val="1C8C6C33"/>
    <w:rsid w:val="1C962F1E"/>
    <w:rsid w:val="1C986C96"/>
    <w:rsid w:val="1C9D605B"/>
    <w:rsid w:val="1CA473E9"/>
    <w:rsid w:val="1CC655B2"/>
    <w:rsid w:val="1CE95744"/>
    <w:rsid w:val="1CF97CF8"/>
    <w:rsid w:val="1D0600A4"/>
    <w:rsid w:val="1D0929C7"/>
    <w:rsid w:val="1D142E25"/>
    <w:rsid w:val="1D17405F"/>
    <w:rsid w:val="1D1E53EE"/>
    <w:rsid w:val="1D3C5874"/>
    <w:rsid w:val="1D6B7F07"/>
    <w:rsid w:val="1D734062"/>
    <w:rsid w:val="1D81772B"/>
    <w:rsid w:val="1D922B9C"/>
    <w:rsid w:val="1D943902"/>
    <w:rsid w:val="1D9A07EC"/>
    <w:rsid w:val="1D9B6A3E"/>
    <w:rsid w:val="1D9D475C"/>
    <w:rsid w:val="1DB21FDA"/>
    <w:rsid w:val="1DC6004A"/>
    <w:rsid w:val="1DC67833"/>
    <w:rsid w:val="1DF02ABF"/>
    <w:rsid w:val="1E0D5462"/>
    <w:rsid w:val="1E2F362A"/>
    <w:rsid w:val="1E37428D"/>
    <w:rsid w:val="1E390005"/>
    <w:rsid w:val="1E557E8B"/>
    <w:rsid w:val="1E5C3908"/>
    <w:rsid w:val="1E9B0CC0"/>
    <w:rsid w:val="1EAE72A3"/>
    <w:rsid w:val="1EB53B30"/>
    <w:rsid w:val="1ED86D4C"/>
    <w:rsid w:val="1EE44415"/>
    <w:rsid w:val="1EEB4645"/>
    <w:rsid w:val="1EF34658"/>
    <w:rsid w:val="1EF83A1C"/>
    <w:rsid w:val="1EFB52BB"/>
    <w:rsid w:val="1F0423C1"/>
    <w:rsid w:val="1F184D59"/>
    <w:rsid w:val="1F2019ED"/>
    <w:rsid w:val="1F46052D"/>
    <w:rsid w:val="1F4605C6"/>
    <w:rsid w:val="1F572E39"/>
    <w:rsid w:val="1F657087"/>
    <w:rsid w:val="1F672950"/>
    <w:rsid w:val="1F7F5EEC"/>
    <w:rsid w:val="1F8A4FBC"/>
    <w:rsid w:val="1F8C459A"/>
    <w:rsid w:val="1F91369F"/>
    <w:rsid w:val="1F933745"/>
    <w:rsid w:val="1FA53311"/>
    <w:rsid w:val="1FAD0E97"/>
    <w:rsid w:val="1FC246FC"/>
    <w:rsid w:val="1FD77AD6"/>
    <w:rsid w:val="1FE9774F"/>
    <w:rsid w:val="1FFB1A16"/>
    <w:rsid w:val="20040184"/>
    <w:rsid w:val="202B0862"/>
    <w:rsid w:val="202B0CA0"/>
    <w:rsid w:val="20390790"/>
    <w:rsid w:val="20471525"/>
    <w:rsid w:val="20502A11"/>
    <w:rsid w:val="2059498F"/>
    <w:rsid w:val="20651585"/>
    <w:rsid w:val="206770AC"/>
    <w:rsid w:val="20A0611A"/>
    <w:rsid w:val="20C2105F"/>
    <w:rsid w:val="20C22534"/>
    <w:rsid w:val="20CC01D5"/>
    <w:rsid w:val="20DD2ECA"/>
    <w:rsid w:val="20E34258"/>
    <w:rsid w:val="20E92483"/>
    <w:rsid w:val="20F50FF3"/>
    <w:rsid w:val="211D59BC"/>
    <w:rsid w:val="21226FDF"/>
    <w:rsid w:val="2122788E"/>
    <w:rsid w:val="2124312A"/>
    <w:rsid w:val="212D20A3"/>
    <w:rsid w:val="2143680D"/>
    <w:rsid w:val="216B497A"/>
    <w:rsid w:val="21723F5A"/>
    <w:rsid w:val="218872DA"/>
    <w:rsid w:val="21A954A2"/>
    <w:rsid w:val="21B622BD"/>
    <w:rsid w:val="21CB366A"/>
    <w:rsid w:val="21D20555"/>
    <w:rsid w:val="22151481"/>
    <w:rsid w:val="222608A0"/>
    <w:rsid w:val="223760C2"/>
    <w:rsid w:val="22631AF5"/>
    <w:rsid w:val="22736A7A"/>
    <w:rsid w:val="229B303C"/>
    <w:rsid w:val="22AE0FC2"/>
    <w:rsid w:val="22B10AB2"/>
    <w:rsid w:val="22C34341"/>
    <w:rsid w:val="22C72083"/>
    <w:rsid w:val="22CA2E8B"/>
    <w:rsid w:val="22CC1448"/>
    <w:rsid w:val="22E20C6B"/>
    <w:rsid w:val="22E76282"/>
    <w:rsid w:val="22F17100"/>
    <w:rsid w:val="230A2115"/>
    <w:rsid w:val="23101342"/>
    <w:rsid w:val="23103A2A"/>
    <w:rsid w:val="231161CE"/>
    <w:rsid w:val="23177672"/>
    <w:rsid w:val="23316C48"/>
    <w:rsid w:val="23447230"/>
    <w:rsid w:val="234F08C0"/>
    <w:rsid w:val="23563407"/>
    <w:rsid w:val="23575EA4"/>
    <w:rsid w:val="23615FD4"/>
    <w:rsid w:val="23623B5A"/>
    <w:rsid w:val="236A6D5F"/>
    <w:rsid w:val="23751ADF"/>
    <w:rsid w:val="2378337E"/>
    <w:rsid w:val="2393640A"/>
    <w:rsid w:val="239C4379"/>
    <w:rsid w:val="23B73EA6"/>
    <w:rsid w:val="23C31AF7"/>
    <w:rsid w:val="23C54623"/>
    <w:rsid w:val="23C6058D"/>
    <w:rsid w:val="23E12CD1"/>
    <w:rsid w:val="23E60F28"/>
    <w:rsid w:val="2400212C"/>
    <w:rsid w:val="24125580"/>
    <w:rsid w:val="24155071"/>
    <w:rsid w:val="2432352D"/>
    <w:rsid w:val="244119C2"/>
    <w:rsid w:val="244D0366"/>
    <w:rsid w:val="24651B54"/>
    <w:rsid w:val="24681644"/>
    <w:rsid w:val="246C4A50"/>
    <w:rsid w:val="24724271"/>
    <w:rsid w:val="247B0214"/>
    <w:rsid w:val="247B3126"/>
    <w:rsid w:val="247B4ED4"/>
    <w:rsid w:val="248875F1"/>
    <w:rsid w:val="248F628D"/>
    <w:rsid w:val="248F6BD1"/>
    <w:rsid w:val="2492046F"/>
    <w:rsid w:val="24AA7567"/>
    <w:rsid w:val="24AC1531"/>
    <w:rsid w:val="24BC2CA2"/>
    <w:rsid w:val="24E66EFD"/>
    <w:rsid w:val="24F10479"/>
    <w:rsid w:val="25001EA9"/>
    <w:rsid w:val="250F7D12"/>
    <w:rsid w:val="251949DD"/>
    <w:rsid w:val="251E2C73"/>
    <w:rsid w:val="25257535"/>
    <w:rsid w:val="25292B82"/>
    <w:rsid w:val="252B5A3C"/>
    <w:rsid w:val="254426AC"/>
    <w:rsid w:val="256B319A"/>
    <w:rsid w:val="258170C2"/>
    <w:rsid w:val="25A246E2"/>
    <w:rsid w:val="25B05051"/>
    <w:rsid w:val="25B4065F"/>
    <w:rsid w:val="25B975C5"/>
    <w:rsid w:val="25C25B9D"/>
    <w:rsid w:val="25C603D0"/>
    <w:rsid w:val="25C7239A"/>
    <w:rsid w:val="25CB1E8B"/>
    <w:rsid w:val="25D01444"/>
    <w:rsid w:val="25D10748"/>
    <w:rsid w:val="25D36F91"/>
    <w:rsid w:val="25DE1413"/>
    <w:rsid w:val="25EA6412"/>
    <w:rsid w:val="25FB762A"/>
    <w:rsid w:val="263C68E5"/>
    <w:rsid w:val="26435EC5"/>
    <w:rsid w:val="264F486A"/>
    <w:rsid w:val="265E4AAD"/>
    <w:rsid w:val="266876DA"/>
    <w:rsid w:val="266B3F3A"/>
    <w:rsid w:val="26780747"/>
    <w:rsid w:val="267918E7"/>
    <w:rsid w:val="267B565F"/>
    <w:rsid w:val="26946721"/>
    <w:rsid w:val="269B7AAF"/>
    <w:rsid w:val="269E134D"/>
    <w:rsid w:val="269E30FB"/>
    <w:rsid w:val="26B61130"/>
    <w:rsid w:val="26B749AB"/>
    <w:rsid w:val="26CE340D"/>
    <w:rsid w:val="26D1527F"/>
    <w:rsid w:val="26D46B1D"/>
    <w:rsid w:val="26D905D7"/>
    <w:rsid w:val="26F15921"/>
    <w:rsid w:val="26F91E7B"/>
    <w:rsid w:val="26F947D6"/>
    <w:rsid w:val="27027B2E"/>
    <w:rsid w:val="270F3FF9"/>
    <w:rsid w:val="271B3332"/>
    <w:rsid w:val="273A72C8"/>
    <w:rsid w:val="274850DC"/>
    <w:rsid w:val="274F37F6"/>
    <w:rsid w:val="27800A53"/>
    <w:rsid w:val="27856069"/>
    <w:rsid w:val="278617E9"/>
    <w:rsid w:val="27886730"/>
    <w:rsid w:val="279B3ADF"/>
    <w:rsid w:val="27AE3812"/>
    <w:rsid w:val="27AF30E6"/>
    <w:rsid w:val="27B87321"/>
    <w:rsid w:val="27D33279"/>
    <w:rsid w:val="27D86AE1"/>
    <w:rsid w:val="27E3004C"/>
    <w:rsid w:val="27F07987"/>
    <w:rsid w:val="28042BE8"/>
    <w:rsid w:val="2818512F"/>
    <w:rsid w:val="281A2C55"/>
    <w:rsid w:val="281F64BE"/>
    <w:rsid w:val="282633A8"/>
    <w:rsid w:val="28297FEA"/>
    <w:rsid w:val="28397580"/>
    <w:rsid w:val="2842411B"/>
    <w:rsid w:val="28425D08"/>
    <w:rsid w:val="28506677"/>
    <w:rsid w:val="28553C8E"/>
    <w:rsid w:val="285C14C0"/>
    <w:rsid w:val="287A1946"/>
    <w:rsid w:val="287A36F4"/>
    <w:rsid w:val="28810F26"/>
    <w:rsid w:val="289305C8"/>
    <w:rsid w:val="28A349F9"/>
    <w:rsid w:val="28A864B3"/>
    <w:rsid w:val="28B05BCE"/>
    <w:rsid w:val="28B478B1"/>
    <w:rsid w:val="28B5297E"/>
    <w:rsid w:val="28C037FD"/>
    <w:rsid w:val="28E868B0"/>
    <w:rsid w:val="28ED3EC6"/>
    <w:rsid w:val="28F956C2"/>
    <w:rsid w:val="28FB457A"/>
    <w:rsid w:val="29065E7D"/>
    <w:rsid w:val="29192F0D"/>
    <w:rsid w:val="29270363"/>
    <w:rsid w:val="292A6EC8"/>
    <w:rsid w:val="29385A89"/>
    <w:rsid w:val="293B7327"/>
    <w:rsid w:val="29591A73"/>
    <w:rsid w:val="29634188"/>
    <w:rsid w:val="296A19BB"/>
    <w:rsid w:val="296D5007"/>
    <w:rsid w:val="296E4C06"/>
    <w:rsid w:val="29787C34"/>
    <w:rsid w:val="298A4F2C"/>
    <w:rsid w:val="2996630C"/>
    <w:rsid w:val="299D6F78"/>
    <w:rsid w:val="29A30A29"/>
    <w:rsid w:val="29A529F3"/>
    <w:rsid w:val="29B1237D"/>
    <w:rsid w:val="29BA732F"/>
    <w:rsid w:val="29C074E4"/>
    <w:rsid w:val="29D50BB4"/>
    <w:rsid w:val="29DB173D"/>
    <w:rsid w:val="29E17ECF"/>
    <w:rsid w:val="2A067935"/>
    <w:rsid w:val="2A094B3C"/>
    <w:rsid w:val="2A0C2A72"/>
    <w:rsid w:val="2A1536D4"/>
    <w:rsid w:val="2A1D1D28"/>
    <w:rsid w:val="2A222295"/>
    <w:rsid w:val="2A247DBB"/>
    <w:rsid w:val="2A3427F0"/>
    <w:rsid w:val="2A3D2C2B"/>
    <w:rsid w:val="2A4346E5"/>
    <w:rsid w:val="2A443FBA"/>
    <w:rsid w:val="2A524929"/>
    <w:rsid w:val="2A661523"/>
    <w:rsid w:val="2A691C72"/>
    <w:rsid w:val="2A9B1960"/>
    <w:rsid w:val="2AA13507"/>
    <w:rsid w:val="2AA50EFC"/>
    <w:rsid w:val="2ABA1C48"/>
    <w:rsid w:val="2AC31382"/>
    <w:rsid w:val="2AC375D4"/>
    <w:rsid w:val="2AD25A69"/>
    <w:rsid w:val="2AD27817"/>
    <w:rsid w:val="2ADC41F2"/>
    <w:rsid w:val="2AE354C8"/>
    <w:rsid w:val="2AE928C2"/>
    <w:rsid w:val="2AF552B4"/>
    <w:rsid w:val="2B006133"/>
    <w:rsid w:val="2B065713"/>
    <w:rsid w:val="2B08056F"/>
    <w:rsid w:val="2B083239"/>
    <w:rsid w:val="2B1971F4"/>
    <w:rsid w:val="2B342280"/>
    <w:rsid w:val="2B3758CC"/>
    <w:rsid w:val="2B3861FD"/>
    <w:rsid w:val="2B397896"/>
    <w:rsid w:val="2B5E5693"/>
    <w:rsid w:val="2B6366C1"/>
    <w:rsid w:val="2B647B3D"/>
    <w:rsid w:val="2B7803BF"/>
    <w:rsid w:val="2B7E174D"/>
    <w:rsid w:val="2B8C3E6A"/>
    <w:rsid w:val="2B960845"/>
    <w:rsid w:val="2B9D1BD3"/>
    <w:rsid w:val="2BA52670"/>
    <w:rsid w:val="2BBB2606"/>
    <w:rsid w:val="2BBB474F"/>
    <w:rsid w:val="2BBE7482"/>
    <w:rsid w:val="2BED6535"/>
    <w:rsid w:val="2BEF7F55"/>
    <w:rsid w:val="2BF37A45"/>
    <w:rsid w:val="2C016606"/>
    <w:rsid w:val="2C071743"/>
    <w:rsid w:val="2C0C23AB"/>
    <w:rsid w:val="2C0E487F"/>
    <w:rsid w:val="2C0F3F8E"/>
    <w:rsid w:val="2C101CED"/>
    <w:rsid w:val="2C1F6386"/>
    <w:rsid w:val="2C210A56"/>
    <w:rsid w:val="2C300CD1"/>
    <w:rsid w:val="2C32224A"/>
    <w:rsid w:val="2C3A4E18"/>
    <w:rsid w:val="2C3B13EC"/>
    <w:rsid w:val="2C6C4F16"/>
    <w:rsid w:val="2C6D3C9C"/>
    <w:rsid w:val="2C7333ED"/>
    <w:rsid w:val="2C861F08"/>
    <w:rsid w:val="2C972AC7"/>
    <w:rsid w:val="2C9A25B7"/>
    <w:rsid w:val="2CB43679"/>
    <w:rsid w:val="2CB5119F"/>
    <w:rsid w:val="2CBD0053"/>
    <w:rsid w:val="2CBD60E0"/>
    <w:rsid w:val="2CC413E2"/>
    <w:rsid w:val="2CC66F08"/>
    <w:rsid w:val="2CCC3583"/>
    <w:rsid w:val="2CE43832"/>
    <w:rsid w:val="2CF41CC7"/>
    <w:rsid w:val="2CF471CC"/>
    <w:rsid w:val="2D281971"/>
    <w:rsid w:val="2D340315"/>
    <w:rsid w:val="2D496844"/>
    <w:rsid w:val="2D5016A4"/>
    <w:rsid w:val="2D5212A8"/>
    <w:rsid w:val="2D597D7C"/>
    <w:rsid w:val="2D74105A"/>
    <w:rsid w:val="2D7C3A6A"/>
    <w:rsid w:val="2D9B65E7"/>
    <w:rsid w:val="2DA03BFD"/>
    <w:rsid w:val="2DA21723"/>
    <w:rsid w:val="2DA3549B"/>
    <w:rsid w:val="2DD41AF8"/>
    <w:rsid w:val="2DE57862"/>
    <w:rsid w:val="2E045F3A"/>
    <w:rsid w:val="2E0778D1"/>
    <w:rsid w:val="2E093550"/>
    <w:rsid w:val="2E114AFB"/>
    <w:rsid w:val="2E1A5EEF"/>
    <w:rsid w:val="2E1B49C8"/>
    <w:rsid w:val="2E255EB0"/>
    <w:rsid w:val="2E295CFD"/>
    <w:rsid w:val="2E2A546B"/>
    <w:rsid w:val="2E312AA7"/>
    <w:rsid w:val="2E3619F6"/>
    <w:rsid w:val="2E5D1AEE"/>
    <w:rsid w:val="2E675CC8"/>
    <w:rsid w:val="2E7035CF"/>
    <w:rsid w:val="2E7A444E"/>
    <w:rsid w:val="2E870919"/>
    <w:rsid w:val="2E935D7C"/>
    <w:rsid w:val="2EA119DB"/>
    <w:rsid w:val="2ED973C6"/>
    <w:rsid w:val="2EE030CB"/>
    <w:rsid w:val="2EF03695"/>
    <w:rsid w:val="2EFE0BDB"/>
    <w:rsid w:val="2F000DF7"/>
    <w:rsid w:val="2F067A90"/>
    <w:rsid w:val="2F0E3499"/>
    <w:rsid w:val="2F1F0B51"/>
    <w:rsid w:val="2F234AE5"/>
    <w:rsid w:val="2F2D7712"/>
    <w:rsid w:val="2F2F1784"/>
    <w:rsid w:val="2F302D5E"/>
    <w:rsid w:val="2F394C9E"/>
    <w:rsid w:val="2F417A3B"/>
    <w:rsid w:val="2F5051AF"/>
    <w:rsid w:val="2F520F27"/>
    <w:rsid w:val="2F527179"/>
    <w:rsid w:val="2F5C7FF7"/>
    <w:rsid w:val="2F6F1AD9"/>
    <w:rsid w:val="2F7E3ACA"/>
    <w:rsid w:val="2F8F3F29"/>
    <w:rsid w:val="2F9233E9"/>
    <w:rsid w:val="2FA63021"/>
    <w:rsid w:val="2FB56CF8"/>
    <w:rsid w:val="2FCC2A87"/>
    <w:rsid w:val="2FDD4E74"/>
    <w:rsid w:val="2FEE6EA1"/>
    <w:rsid w:val="2FEF2C1A"/>
    <w:rsid w:val="2FFD5337"/>
    <w:rsid w:val="30030473"/>
    <w:rsid w:val="300527EC"/>
    <w:rsid w:val="30061838"/>
    <w:rsid w:val="301D32E3"/>
    <w:rsid w:val="302C1778"/>
    <w:rsid w:val="30321BD2"/>
    <w:rsid w:val="30420F9B"/>
    <w:rsid w:val="304C5976"/>
    <w:rsid w:val="305807BF"/>
    <w:rsid w:val="3075311F"/>
    <w:rsid w:val="30797D93"/>
    <w:rsid w:val="30850E88"/>
    <w:rsid w:val="30861CF0"/>
    <w:rsid w:val="309E34D9"/>
    <w:rsid w:val="30A117DC"/>
    <w:rsid w:val="30A811B7"/>
    <w:rsid w:val="30C145B6"/>
    <w:rsid w:val="30DB6CFA"/>
    <w:rsid w:val="30E3452C"/>
    <w:rsid w:val="30E402A4"/>
    <w:rsid w:val="30EC75C0"/>
    <w:rsid w:val="30FF0C3A"/>
    <w:rsid w:val="3103697D"/>
    <w:rsid w:val="310444A3"/>
    <w:rsid w:val="310F6C24"/>
    <w:rsid w:val="312132A7"/>
    <w:rsid w:val="312E32CE"/>
    <w:rsid w:val="313E4C21"/>
    <w:rsid w:val="31557607"/>
    <w:rsid w:val="315D7911"/>
    <w:rsid w:val="315E05DD"/>
    <w:rsid w:val="31615D7B"/>
    <w:rsid w:val="318178A1"/>
    <w:rsid w:val="318D3B7C"/>
    <w:rsid w:val="318E06C2"/>
    <w:rsid w:val="319C4D04"/>
    <w:rsid w:val="31A0241D"/>
    <w:rsid w:val="31A11CF2"/>
    <w:rsid w:val="31AD4B3A"/>
    <w:rsid w:val="31BD33DF"/>
    <w:rsid w:val="31C24663"/>
    <w:rsid w:val="31C51434"/>
    <w:rsid w:val="31CF4AB1"/>
    <w:rsid w:val="31D420C7"/>
    <w:rsid w:val="31D85915"/>
    <w:rsid w:val="31E3055C"/>
    <w:rsid w:val="31E3230A"/>
    <w:rsid w:val="31E43039"/>
    <w:rsid w:val="31E85B72"/>
    <w:rsid w:val="31FD6E89"/>
    <w:rsid w:val="320B3053"/>
    <w:rsid w:val="320F3589"/>
    <w:rsid w:val="322449FC"/>
    <w:rsid w:val="322E5C7B"/>
    <w:rsid w:val="324E6731"/>
    <w:rsid w:val="325353A0"/>
    <w:rsid w:val="326C67A3"/>
    <w:rsid w:val="32700042"/>
    <w:rsid w:val="32AF09B7"/>
    <w:rsid w:val="32C0264B"/>
    <w:rsid w:val="32C739DA"/>
    <w:rsid w:val="32DE0B4C"/>
    <w:rsid w:val="32EB76C8"/>
    <w:rsid w:val="32F04CDF"/>
    <w:rsid w:val="32FD564D"/>
    <w:rsid w:val="331309CD"/>
    <w:rsid w:val="331A72C6"/>
    <w:rsid w:val="331D2694"/>
    <w:rsid w:val="333C43C8"/>
    <w:rsid w:val="33447797"/>
    <w:rsid w:val="33576B0C"/>
    <w:rsid w:val="33661445"/>
    <w:rsid w:val="336A2CE3"/>
    <w:rsid w:val="33723946"/>
    <w:rsid w:val="33755B7B"/>
    <w:rsid w:val="33792F26"/>
    <w:rsid w:val="337E053C"/>
    <w:rsid w:val="33866A55"/>
    <w:rsid w:val="33964F33"/>
    <w:rsid w:val="33AD2BD0"/>
    <w:rsid w:val="33BE6B8B"/>
    <w:rsid w:val="33C817B8"/>
    <w:rsid w:val="33E86B11"/>
    <w:rsid w:val="33ED7470"/>
    <w:rsid w:val="33F97BC3"/>
    <w:rsid w:val="340053F5"/>
    <w:rsid w:val="34074FA3"/>
    <w:rsid w:val="340A0022"/>
    <w:rsid w:val="34126ED7"/>
    <w:rsid w:val="34180991"/>
    <w:rsid w:val="342015F4"/>
    <w:rsid w:val="34394463"/>
    <w:rsid w:val="345276D5"/>
    <w:rsid w:val="34802092"/>
    <w:rsid w:val="34943D90"/>
    <w:rsid w:val="349938B0"/>
    <w:rsid w:val="34B87A7E"/>
    <w:rsid w:val="34CC342B"/>
    <w:rsid w:val="34D10B40"/>
    <w:rsid w:val="34DF500B"/>
    <w:rsid w:val="34E02B31"/>
    <w:rsid w:val="34E6186B"/>
    <w:rsid w:val="34E74E6C"/>
    <w:rsid w:val="34E940DB"/>
    <w:rsid w:val="34ED2B7D"/>
    <w:rsid w:val="35042CC3"/>
    <w:rsid w:val="35156C7E"/>
    <w:rsid w:val="35812566"/>
    <w:rsid w:val="35A65B28"/>
    <w:rsid w:val="35BA5B31"/>
    <w:rsid w:val="35DC59EE"/>
    <w:rsid w:val="35F44CB1"/>
    <w:rsid w:val="36010FB1"/>
    <w:rsid w:val="3619454C"/>
    <w:rsid w:val="363A2D6D"/>
    <w:rsid w:val="364F7F6E"/>
    <w:rsid w:val="365E4655"/>
    <w:rsid w:val="366251C2"/>
    <w:rsid w:val="36681030"/>
    <w:rsid w:val="367E0853"/>
    <w:rsid w:val="367F4CF7"/>
    <w:rsid w:val="36843E20"/>
    <w:rsid w:val="368D02E5"/>
    <w:rsid w:val="36981915"/>
    <w:rsid w:val="36B6623F"/>
    <w:rsid w:val="36B831D7"/>
    <w:rsid w:val="36BB3856"/>
    <w:rsid w:val="372238D5"/>
    <w:rsid w:val="374101FF"/>
    <w:rsid w:val="374C03C8"/>
    <w:rsid w:val="375810A4"/>
    <w:rsid w:val="377A54BF"/>
    <w:rsid w:val="377C2FE5"/>
    <w:rsid w:val="37CE75B8"/>
    <w:rsid w:val="37D20E57"/>
    <w:rsid w:val="37D2283E"/>
    <w:rsid w:val="37F214F9"/>
    <w:rsid w:val="37F31F7D"/>
    <w:rsid w:val="37FC4126"/>
    <w:rsid w:val="380A0E48"/>
    <w:rsid w:val="380B25BB"/>
    <w:rsid w:val="3810197F"/>
    <w:rsid w:val="38106D26"/>
    <w:rsid w:val="38127B00"/>
    <w:rsid w:val="38277363"/>
    <w:rsid w:val="383438BF"/>
    <w:rsid w:val="383535AE"/>
    <w:rsid w:val="383733B0"/>
    <w:rsid w:val="38425EE5"/>
    <w:rsid w:val="3845787B"/>
    <w:rsid w:val="384855BD"/>
    <w:rsid w:val="3848673B"/>
    <w:rsid w:val="384A4E91"/>
    <w:rsid w:val="38543F62"/>
    <w:rsid w:val="386121DB"/>
    <w:rsid w:val="386C12AB"/>
    <w:rsid w:val="387B504A"/>
    <w:rsid w:val="387C0200"/>
    <w:rsid w:val="38877E93"/>
    <w:rsid w:val="38891B11"/>
    <w:rsid w:val="38926838"/>
    <w:rsid w:val="389C079F"/>
    <w:rsid w:val="389D74BC"/>
    <w:rsid w:val="38A0109E"/>
    <w:rsid w:val="38A81BB8"/>
    <w:rsid w:val="38AF73EA"/>
    <w:rsid w:val="38BA6A68"/>
    <w:rsid w:val="38BB28F8"/>
    <w:rsid w:val="38BE762D"/>
    <w:rsid w:val="38CB0F34"/>
    <w:rsid w:val="38CF35E8"/>
    <w:rsid w:val="38D429AD"/>
    <w:rsid w:val="38EF5A38"/>
    <w:rsid w:val="38FA125D"/>
    <w:rsid w:val="38FB44BA"/>
    <w:rsid w:val="38FD5C8E"/>
    <w:rsid w:val="3904029D"/>
    <w:rsid w:val="39180AEB"/>
    <w:rsid w:val="392274DB"/>
    <w:rsid w:val="39273424"/>
    <w:rsid w:val="39340CF0"/>
    <w:rsid w:val="394E09B1"/>
    <w:rsid w:val="39535FC7"/>
    <w:rsid w:val="39665CFB"/>
    <w:rsid w:val="396B42B3"/>
    <w:rsid w:val="39AC1B82"/>
    <w:rsid w:val="39AD1B7B"/>
    <w:rsid w:val="39F72585"/>
    <w:rsid w:val="39FC21BB"/>
    <w:rsid w:val="3A105641"/>
    <w:rsid w:val="3A1A0893"/>
    <w:rsid w:val="3A2F07E2"/>
    <w:rsid w:val="3A4F2C33"/>
    <w:rsid w:val="3A56723A"/>
    <w:rsid w:val="3A607A49"/>
    <w:rsid w:val="3A6D4E67"/>
    <w:rsid w:val="3A70413F"/>
    <w:rsid w:val="3A741333"/>
    <w:rsid w:val="3A777A93"/>
    <w:rsid w:val="3A920D71"/>
    <w:rsid w:val="3A9643BE"/>
    <w:rsid w:val="3AA36ADA"/>
    <w:rsid w:val="3AA43493"/>
    <w:rsid w:val="3AA70925"/>
    <w:rsid w:val="3AB962FE"/>
    <w:rsid w:val="3AC164C4"/>
    <w:rsid w:val="3ACD5EAF"/>
    <w:rsid w:val="3ACE7FFB"/>
    <w:rsid w:val="3ADB0022"/>
    <w:rsid w:val="3ADE1DA1"/>
    <w:rsid w:val="3ADF09B2"/>
    <w:rsid w:val="3AF92329"/>
    <w:rsid w:val="3B021CE3"/>
    <w:rsid w:val="3B04727B"/>
    <w:rsid w:val="3B0C4680"/>
    <w:rsid w:val="3B225C51"/>
    <w:rsid w:val="3B293484"/>
    <w:rsid w:val="3B3140E6"/>
    <w:rsid w:val="3B430836"/>
    <w:rsid w:val="3B5B5607"/>
    <w:rsid w:val="3B7364AD"/>
    <w:rsid w:val="3B7E4069"/>
    <w:rsid w:val="3B806E1C"/>
    <w:rsid w:val="3B911029"/>
    <w:rsid w:val="3BAA0D70"/>
    <w:rsid w:val="3BB70F71"/>
    <w:rsid w:val="3BB7552C"/>
    <w:rsid w:val="3BDB05F6"/>
    <w:rsid w:val="3BDF1D94"/>
    <w:rsid w:val="3BE5736A"/>
    <w:rsid w:val="3C05505A"/>
    <w:rsid w:val="3C0B2B89"/>
    <w:rsid w:val="3C1D466B"/>
    <w:rsid w:val="3C320282"/>
    <w:rsid w:val="3C360CAF"/>
    <w:rsid w:val="3C553E4C"/>
    <w:rsid w:val="3C577F90"/>
    <w:rsid w:val="3C64468F"/>
    <w:rsid w:val="3C690B97"/>
    <w:rsid w:val="3C7050E2"/>
    <w:rsid w:val="3C756255"/>
    <w:rsid w:val="3C760D2E"/>
    <w:rsid w:val="3C776471"/>
    <w:rsid w:val="3C793F97"/>
    <w:rsid w:val="3C8270C1"/>
    <w:rsid w:val="3C9E39FD"/>
    <w:rsid w:val="3C9F3A7B"/>
    <w:rsid w:val="3CA33A86"/>
    <w:rsid w:val="3CA710BA"/>
    <w:rsid w:val="3CAD771B"/>
    <w:rsid w:val="3CAE195F"/>
    <w:rsid w:val="3CB90837"/>
    <w:rsid w:val="3CC505C3"/>
    <w:rsid w:val="3CCD42E3"/>
    <w:rsid w:val="3CD016DD"/>
    <w:rsid w:val="3CE5162C"/>
    <w:rsid w:val="3CE67580"/>
    <w:rsid w:val="3CEC4769"/>
    <w:rsid w:val="3CF61143"/>
    <w:rsid w:val="3CFB39E4"/>
    <w:rsid w:val="3D0D46DF"/>
    <w:rsid w:val="3D0F0457"/>
    <w:rsid w:val="3D1B504E"/>
    <w:rsid w:val="3D267821"/>
    <w:rsid w:val="3D29776B"/>
    <w:rsid w:val="3D361E88"/>
    <w:rsid w:val="3D386165"/>
    <w:rsid w:val="3D405813"/>
    <w:rsid w:val="3D5E79B7"/>
    <w:rsid w:val="3D932E36"/>
    <w:rsid w:val="3DA00B4F"/>
    <w:rsid w:val="3DA34522"/>
    <w:rsid w:val="3DBF3C2B"/>
    <w:rsid w:val="3DC15BF5"/>
    <w:rsid w:val="3DCD4C26"/>
    <w:rsid w:val="3DD91D2C"/>
    <w:rsid w:val="3DDF42CD"/>
    <w:rsid w:val="3DEF5C1E"/>
    <w:rsid w:val="3E063608"/>
    <w:rsid w:val="3E1D4077"/>
    <w:rsid w:val="3E241CE0"/>
    <w:rsid w:val="3E2D328B"/>
    <w:rsid w:val="3E2F1A63"/>
    <w:rsid w:val="3E350391"/>
    <w:rsid w:val="3E46434D"/>
    <w:rsid w:val="3E576141"/>
    <w:rsid w:val="3E7C38CA"/>
    <w:rsid w:val="3E8F1850"/>
    <w:rsid w:val="3E95498C"/>
    <w:rsid w:val="3E9B206D"/>
    <w:rsid w:val="3ED41958"/>
    <w:rsid w:val="3EE002FD"/>
    <w:rsid w:val="3EE020AB"/>
    <w:rsid w:val="3EE80F60"/>
    <w:rsid w:val="3EF47905"/>
    <w:rsid w:val="3EFA376C"/>
    <w:rsid w:val="3F000AF5"/>
    <w:rsid w:val="3F154D9E"/>
    <w:rsid w:val="3F197070"/>
    <w:rsid w:val="3F1D5E36"/>
    <w:rsid w:val="3F3146B5"/>
    <w:rsid w:val="3F317DC0"/>
    <w:rsid w:val="3F3348D1"/>
    <w:rsid w:val="3F593C0C"/>
    <w:rsid w:val="3F751CCF"/>
    <w:rsid w:val="3F777D79"/>
    <w:rsid w:val="3F7F1678"/>
    <w:rsid w:val="3F9E147C"/>
    <w:rsid w:val="3F9E50AA"/>
    <w:rsid w:val="3FA0183A"/>
    <w:rsid w:val="3FBB23AB"/>
    <w:rsid w:val="3FBE7F13"/>
    <w:rsid w:val="3FCB2D5B"/>
    <w:rsid w:val="4004722B"/>
    <w:rsid w:val="400F2769"/>
    <w:rsid w:val="40167D4F"/>
    <w:rsid w:val="401A15ED"/>
    <w:rsid w:val="4024421A"/>
    <w:rsid w:val="40276E58"/>
    <w:rsid w:val="402B55A8"/>
    <w:rsid w:val="40316BAC"/>
    <w:rsid w:val="406C370B"/>
    <w:rsid w:val="407C5E04"/>
    <w:rsid w:val="40803094"/>
    <w:rsid w:val="40A11D0E"/>
    <w:rsid w:val="40AB493B"/>
    <w:rsid w:val="40B01F51"/>
    <w:rsid w:val="40BC08F6"/>
    <w:rsid w:val="40C94DC1"/>
    <w:rsid w:val="40CF0629"/>
    <w:rsid w:val="40E02AF3"/>
    <w:rsid w:val="41004C87"/>
    <w:rsid w:val="41006A35"/>
    <w:rsid w:val="410858E9"/>
    <w:rsid w:val="410D1B10"/>
    <w:rsid w:val="41166258"/>
    <w:rsid w:val="411C3143"/>
    <w:rsid w:val="41377F7D"/>
    <w:rsid w:val="41384420"/>
    <w:rsid w:val="418331C2"/>
    <w:rsid w:val="41A1692C"/>
    <w:rsid w:val="41A21103"/>
    <w:rsid w:val="41A43864"/>
    <w:rsid w:val="41A75102"/>
    <w:rsid w:val="41A90E7A"/>
    <w:rsid w:val="41CC723D"/>
    <w:rsid w:val="41D25D3B"/>
    <w:rsid w:val="41F83873"/>
    <w:rsid w:val="421A4B7E"/>
    <w:rsid w:val="421D2CB5"/>
    <w:rsid w:val="422A4671"/>
    <w:rsid w:val="42333947"/>
    <w:rsid w:val="42360234"/>
    <w:rsid w:val="42524424"/>
    <w:rsid w:val="425B569E"/>
    <w:rsid w:val="42666D6B"/>
    <w:rsid w:val="426C3A60"/>
    <w:rsid w:val="42790B68"/>
    <w:rsid w:val="42817701"/>
    <w:rsid w:val="4294533C"/>
    <w:rsid w:val="42AC72F7"/>
    <w:rsid w:val="42BA0E65"/>
    <w:rsid w:val="42BF647C"/>
    <w:rsid w:val="42C817D4"/>
    <w:rsid w:val="42CA2ED2"/>
    <w:rsid w:val="42DF267A"/>
    <w:rsid w:val="42E61C5A"/>
    <w:rsid w:val="42EB256B"/>
    <w:rsid w:val="4346094B"/>
    <w:rsid w:val="434765EB"/>
    <w:rsid w:val="43513C84"/>
    <w:rsid w:val="436112E1"/>
    <w:rsid w:val="43790D20"/>
    <w:rsid w:val="438F251C"/>
    <w:rsid w:val="43994F1E"/>
    <w:rsid w:val="43AF64F0"/>
    <w:rsid w:val="43BB6C43"/>
    <w:rsid w:val="43C71A8C"/>
    <w:rsid w:val="43C95E9E"/>
    <w:rsid w:val="43D9356D"/>
    <w:rsid w:val="43E678DC"/>
    <w:rsid w:val="43FD725B"/>
    <w:rsid w:val="440A3726"/>
    <w:rsid w:val="44134942"/>
    <w:rsid w:val="442C18EF"/>
    <w:rsid w:val="4430552F"/>
    <w:rsid w:val="444035EC"/>
    <w:rsid w:val="444C01E3"/>
    <w:rsid w:val="445175A7"/>
    <w:rsid w:val="4452556A"/>
    <w:rsid w:val="44632F5A"/>
    <w:rsid w:val="446948F1"/>
    <w:rsid w:val="446D72CF"/>
    <w:rsid w:val="447A7DBC"/>
    <w:rsid w:val="448835C5"/>
    <w:rsid w:val="448B0EBC"/>
    <w:rsid w:val="449000D0"/>
    <w:rsid w:val="44A21CDC"/>
    <w:rsid w:val="44A3059B"/>
    <w:rsid w:val="44B07BCE"/>
    <w:rsid w:val="44B85878"/>
    <w:rsid w:val="44D31E62"/>
    <w:rsid w:val="45014B29"/>
    <w:rsid w:val="450D7972"/>
    <w:rsid w:val="452151CC"/>
    <w:rsid w:val="452B268D"/>
    <w:rsid w:val="452F5B3A"/>
    <w:rsid w:val="4541586E"/>
    <w:rsid w:val="454669E0"/>
    <w:rsid w:val="454F7F8B"/>
    <w:rsid w:val="45737E49"/>
    <w:rsid w:val="457C4AF8"/>
    <w:rsid w:val="457D153E"/>
    <w:rsid w:val="45BB4AE0"/>
    <w:rsid w:val="45BC1EF8"/>
    <w:rsid w:val="45CB1E22"/>
    <w:rsid w:val="45D20431"/>
    <w:rsid w:val="45E561F9"/>
    <w:rsid w:val="45E83F3B"/>
    <w:rsid w:val="45F621B4"/>
    <w:rsid w:val="45F9224D"/>
    <w:rsid w:val="460139DA"/>
    <w:rsid w:val="46115240"/>
    <w:rsid w:val="46276812"/>
    <w:rsid w:val="464060FB"/>
    <w:rsid w:val="46426406"/>
    <w:rsid w:val="46430DB2"/>
    <w:rsid w:val="46582E6F"/>
    <w:rsid w:val="467A1037"/>
    <w:rsid w:val="467F51E0"/>
    <w:rsid w:val="468E4AE3"/>
    <w:rsid w:val="46B6791A"/>
    <w:rsid w:val="46B67B95"/>
    <w:rsid w:val="46C027C2"/>
    <w:rsid w:val="46C16C66"/>
    <w:rsid w:val="46C664D0"/>
    <w:rsid w:val="46CB2461"/>
    <w:rsid w:val="46DC3AA0"/>
    <w:rsid w:val="46E464B1"/>
    <w:rsid w:val="46FE3D8F"/>
    <w:rsid w:val="47017063"/>
    <w:rsid w:val="471A6376"/>
    <w:rsid w:val="47270EDD"/>
    <w:rsid w:val="472B40E0"/>
    <w:rsid w:val="472C13D1"/>
    <w:rsid w:val="47392CA0"/>
    <w:rsid w:val="4739757E"/>
    <w:rsid w:val="473A07C7"/>
    <w:rsid w:val="475573AE"/>
    <w:rsid w:val="4770243A"/>
    <w:rsid w:val="477E2F7D"/>
    <w:rsid w:val="47AC2559"/>
    <w:rsid w:val="47B73BC5"/>
    <w:rsid w:val="47BB1907"/>
    <w:rsid w:val="47C6205A"/>
    <w:rsid w:val="47D600F2"/>
    <w:rsid w:val="47E250E6"/>
    <w:rsid w:val="47ED5839"/>
    <w:rsid w:val="47EF1909"/>
    <w:rsid w:val="482D3E87"/>
    <w:rsid w:val="482F19AD"/>
    <w:rsid w:val="483D056E"/>
    <w:rsid w:val="484F3DFE"/>
    <w:rsid w:val="48541414"/>
    <w:rsid w:val="485B27A2"/>
    <w:rsid w:val="4875070A"/>
    <w:rsid w:val="488F05BE"/>
    <w:rsid w:val="48912668"/>
    <w:rsid w:val="48A51C70"/>
    <w:rsid w:val="48AE321A"/>
    <w:rsid w:val="48D80297"/>
    <w:rsid w:val="48EF6E58"/>
    <w:rsid w:val="48F13107"/>
    <w:rsid w:val="48F21359"/>
    <w:rsid w:val="48F602F7"/>
    <w:rsid w:val="4904108C"/>
    <w:rsid w:val="49090450"/>
    <w:rsid w:val="49311755"/>
    <w:rsid w:val="49393BD8"/>
    <w:rsid w:val="494B6CBB"/>
    <w:rsid w:val="49520049"/>
    <w:rsid w:val="495A0CAC"/>
    <w:rsid w:val="49641B2B"/>
    <w:rsid w:val="49687E1A"/>
    <w:rsid w:val="496E5E1A"/>
    <w:rsid w:val="497240A3"/>
    <w:rsid w:val="498B14DC"/>
    <w:rsid w:val="498E392B"/>
    <w:rsid w:val="49925ED8"/>
    <w:rsid w:val="49A168DB"/>
    <w:rsid w:val="49A60395"/>
    <w:rsid w:val="49DA0B85"/>
    <w:rsid w:val="49DD5379"/>
    <w:rsid w:val="49ED7D72"/>
    <w:rsid w:val="49F66C27"/>
    <w:rsid w:val="4A08695A"/>
    <w:rsid w:val="4A0D5D1E"/>
    <w:rsid w:val="4A161077"/>
    <w:rsid w:val="4A215054"/>
    <w:rsid w:val="4A227A1C"/>
    <w:rsid w:val="4A2C177F"/>
    <w:rsid w:val="4A2D63C1"/>
    <w:rsid w:val="4A38723F"/>
    <w:rsid w:val="4A5502F8"/>
    <w:rsid w:val="4A600360"/>
    <w:rsid w:val="4A6E2C61"/>
    <w:rsid w:val="4A6F0787"/>
    <w:rsid w:val="4A745D9D"/>
    <w:rsid w:val="4A8F0E29"/>
    <w:rsid w:val="4A9401EE"/>
    <w:rsid w:val="4A9F0A8B"/>
    <w:rsid w:val="4AA246B9"/>
    <w:rsid w:val="4AB015A5"/>
    <w:rsid w:val="4AB03279"/>
    <w:rsid w:val="4ABE5BDC"/>
    <w:rsid w:val="4AF313B8"/>
    <w:rsid w:val="4AF46894"/>
    <w:rsid w:val="4B011DFA"/>
    <w:rsid w:val="4B0146E0"/>
    <w:rsid w:val="4B06335F"/>
    <w:rsid w:val="4B1C3835"/>
    <w:rsid w:val="4B1F3F5B"/>
    <w:rsid w:val="4B2127AC"/>
    <w:rsid w:val="4B2B56C8"/>
    <w:rsid w:val="4B2B6DA4"/>
    <w:rsid w:val="4B3317B5"/>
    <w:rsid w:val="4B343D27"/>
    <w:rsid w:val="4B363A79"/>
    <w:rsid w:val="4B375473"/>
    <w:rsid w:val="4B4439C2"/>
    <w:rsid w:val="4B447E66"/>
    <w:rsid w:val="4B475260"/>
    <w:rsid w:val="4B614574"/>
    <w:rsid w:val="4B651593"/>
    <w:rsid w:val="4B771FE9"/>
    <w:rsid w:val="4B7A73E4"/>
    <w:rsid w:val="4B855A31"/>
    <w:rsid w:val="4B863FDA"/>
    <w:rsid w:val="4B8D52CA"/>
    <w:rsid w:val="4BBA3C84"/>
    <w:rsid w:val="4BCA35BA"/>
    <w:rsid w:val="4BD777FC"/>
    <w:rsid w:val="4BDF193C"/>
    <w:rsid w:val="4BE80C94"/>
    <w:rsid w:val="4BEF1B80"/>
    <w:rsid w:val="4BF076A6"/>
    <w:rsid w:val="4BF51B37"/>
    <w:rsid w:val="4C080E93"/>
    <w:rsid w:val="4C166C04"/>
    <w:rsid w:val="4C1A4723"/>
    <w:rsid w:val="4C1B5EA9"/>
    <w:rsid w:val="4C2B52E7"/>
    <w:rsid w:val="4C314045"/>
    <w:rsid w:val="4C420F4E"/>
    <w:rsid w:val="4C431ADA"/>
    <w:rsid w:val="4C4410B4"/>
    <w:rsid w:val="4C4874E2"/>
    <w:rsid w:val="4C5440D8"/>
    <w:rsid w:val="4C5639AD"/>
    <w:rsid w:val="4C602A7D"/>
    <w:rsid w:val="4C6205A3"/>
    <w:rsid w:val="4C630C61"/>
    <w:rsid w:val="4C6360CA"/>
    <w:rsid w:val="4C6D6F48"/>
    <w:rsid w:val="4C6F2F99"/>
    <w:rsid w:val="4C6F44E8"/>
    <w:rsid w:val="4C8524E4"/>
    <w:rsid w:val="4C8A7AFA"/>
    <w:rsid w:val="4C8D1398"/>
    <w:rsid w:val="4C947039"/>
    <w:rsid w:val="4C993042"/>
    <w:rsid w:val="4CA3296A"/>
    <w:rsid w:val="4CA4464A"/>
    <w:rsid w:val="4CA50490"/>
    <w:rsid w:val="4CA5340D"/>
    <w:rsid w:val="4CAC5CC3"/>
    <w:rsid w:val="4CAF1BD2"/>
    <w:rsid w:val="4CC05283"/>
    <w:rsid w:val="4CC34DBA"/>
    <w:rsid w:val="4CC528E0"/>
    <w:rsid w:val="4CCF550D"/>
    <w:rsid w:val="4CD34F96"/>
    <w:rsid w:val="4CD46FC7"/>
    <w:rsid w:val="4CDF5113"/>
    <w:rsid w:val="4CE1086F"/>
    <w:rsid w:val="4CE94821"/>
    <w:rsid w:val="4D223E7F"/>
    <w:rsid w:val="4D261F37"/>
    <w:rsid w:val="4D326B78"/>
    <w:rsid w:val="4D356FF7"/>
    <w:rsid w:val="4D423F31"/>
    <w:rsid w:val="4D8B58D8"/>
    <w:rsid w:val="4D987FF5"/>
    <w:rsid w:val="4DA91C75"/>
    <w:rsid w:val="4DAC584E"/>
    <w:rsid w:val="4DAE7CEA"/>
    <w:rsid w:val="4DB017E2"/>
    <w:rsid w:val="4DB72B71"/>
    <w:rsid w:val="4DDA685F"/>
    <w:rsid w:val="4DFE42FC"/>
    <w:rsid w:val="4E10402F"/>
    <w:rsid w:val="4E1C29D4"/>
    <w:rsid w:val="4E30647F"/>
    <w:rsid w:val="4E4A7541"/>
    <w:rsid w:val="4E546612"/>
    <w:rsid w:val="4E614A05"/>
    <w:rsid w:val="4E797E26"/>
    <w:rsid w:val="4E824F2D"/>
    <w:rsid w:val="4E850579"/>
    <w:rsid w:val="4E8862BB"/>
    <w:rsid w:val="4E886CB2"/>
    <w:rsid w:val="4E927511"/>
    <w:rsid w:val="4E9764FE"/>
    <w:rsid w:val="4E9F01D0"/>
    <w:rsid w:val="4EAD6486"/>
    <w:rsid w:val="4EBD37C1"/>
    <w:rsid w:val="4EBD5F65"/>
    <w:rsid w:val="4ECA2430"/>
    <w:rsid w:val="4ED50520"/>
    <w:rsid w:val="4ED92673"/>
    <w:rsid w:val="4EE47996"/>
    <w:rsid w:val="4EF932FE"/>
    <w:rsid w:val="4F021BCA"/>
    <w:rsid w:val="4F153342"/>
    <w:rsid w:val="4F18319B"/>
    <w:rsid w:val="4F2064F4"/>
    <w:rsid w:val="4F275AD4"/>
    <w:rsid w:val="4F5148FF"/>
    <w:rsid w:val="4F5166AD"/>
    <w:rsid w:val="4F526A76"/>
    <w:rsid w:val="4F5A1A06"/>
    <w:rsid w:val="4F5C39D0"/>
    <w:rsid w:val="4F5D14F6"/>
    <w:rsid w:val="4F5D5052"/>
    <w:rsid w:val="4F860A4D"/>
    <w:rsid w:val="4F8B7E11"/>
    <w:rsid w:val="4F9A091F"/>
    <w:rsid w:val="4FB44097"/>
    <w:rsid w:val="4FBA6948"/>
    <w:rsid w:val="4FC21359"/>
    <w:rsid w:val="4FC90762"/>
    <w:rsid w:val="4FCF5AF4"/>
    <w:rsid w:val="4FD33566"/>
    <w:rsid w:val="4FD712A8"/>
    <w:rsid w:val="4FD83119"/>
    <w:rsid w:val="4FF26FAA"/>
    <w:rsid w:val="4FFC2ABD"/>
    <w:rsid w:val="501222E0"/>
    <w:rsid w:val="50150863"/>
    <w:rsid w:val="50243DC2"/>
    <w:rsid w:val="502A762A"/>
    <w:rsid w:val="502C5296"/>
    <w:rsid w:val="503264DF"/>
    <w:rsid w:val="50395ABF"/>
    <w:rsid w:val="503A35E5"/>
    <w:rsid w:val="503C735D"/>
    <w:rsid w:val="504458E0"/>
    <w:rsid w:val="504D06E4"/>
    <w:rsid w:val="506568B4"/>
    <w:rsid w:val="50692AA8"/>
    <w:rsid w:val="507C3BFE"/>
    <w:rsid w:val="507F724A"/>
    <w:rsid w:val="50811214"/>
    <w:rsid w:val="508356A0"/>
    <w:rsid w:val="50874A7C"/>
    <w:rsid w:val="508A55B1"/>
    <w:rsid w:val="50955AF4"/>
    <w:rsid w:val="5099655E"/>
    <w:rsid w:val="50C64E79"/>
    <w:rsid w:val="50CD7B2B"/>
    <w:rsid w:val="50DB6650"/>
    <w:rsid w:val="50E05F3B"/>
    <w:rsid w:val="50E76C87"/>
    <w:rsid w:val="50E84178"/>
    <w:rsid w:val="50FD0400"/>
    <w:rsid w:val="50FE4613"/>
    <w:rsid w:val="510E0CFA"/>
    <w:rsid w:val="511300BE"/>
    <w:rsid w:val="511B6F73"/>
    <w:rsid w:val="514F30C0"/>
    <w:rsid w:val="514F70CF"/>
    <w:rsid w:val="51600054"/>
    <w:rsid w:val="51842D6A"/>
    <w:rsid w:val="518647B8"/>
    <w:rsid w:val="5188302A"/>
    <w:rsid w:val="51976F41"/>
    <w:rsid w:val="51AE1E90"/>
    <w:rsid w:val="51C671F0"/>
    <w:rsid w:val="51D31186"/>
    <w:rsid w:val="51D325C4"/>
    <w:rsid w:val="51D51AAC"/>
    <w:rsid w:val="51DB43E6"/>
    <w:rsid w:val="51F577C4"/>
    <w:rsid w:val="51FA302C"/>
    <w:rsid w:val="52173BDE"/>
    <w:rsid w:val="524E5126"/>
    <w:rsid w:val="525A174C"/>
    <w:rsid w:val="526D1A50"/>
    <w:rsid w:val="52756B57"/>
    <w:rsid w:val="528F19C6"/>
    <w:rsid w:val="52A1794C"/>
    <w:rsid w:val="52A35472"/>
    <w:rsid w:val="52B129B7"/>
    <w:rsid w:val="52B15DE1"/>
    <w:rsid w:val="52B939F1"/>
    <w:rsid w:val="52CF270B"/>
    <w:rsid w:val="52D25D57"/>
    <w:rsid w:val="52E87329"/>
    <w:rsid w:val="52EC506B"/>
    <w:rsid w:val="52F330D9"/>
    <w:rsid w:val="52FB1BFC"/>
    <w:rsid w:val="52FD1026"/>
    <w:rsid w:val="52FE18DA"/>
    <w:rsid w:val="530028C4"/>
    <w:rsid w:val="531445C2"/>
    <w:rsid w:val="53177C0E"/>
    <w:rsid w:val="53186EE4"/>
    <w:rsid w:val="532358B9"/>
    <w:rsid w:val="532F31A9"/>
    <w:rsid w:val="53310CD0"/>
    <w:rsid w:val="53360094"/>
    <w:rsid w:val="533802B0"/>
    <w:rsid w:val="534C220D"/>
    <w:rsid w:val="535844AE"/>
    <w:rsid w:val="535B3F9E"/>
    <w:rsid w:val="535B5D4C"/>
    <w:rsid w:val="536F1BBE"/>
    <w:rsid w:val="537A4F37"/>
    <w:rsid w:val="53887C35"/>
    <w:rsid w:val="538C4158"/>
    <w:rsid w:val="53A5346C"/>
    <w:rsid w:val="53B813F1"/>
    <w:rsid w:val="53D63625"/>
    <w:rsid w:val="53DA5C43"/>
    <w:rsid w:val="53DD0E57"/>
    <w:rsid w:val="53E30B72"/>
    <w:rsid w:val="53E37ED4"/>
    <w:rsid w:val="53E47AF0"/>
    <w:rsid w:val="53EA0E7E"/>
    <w:rsid w:val="540967A3"/>
    <w:rsid w:val="541859EC"/>
    <w:rsid w:val="541A1764"/>
    <w:rsid w:val="54216B80"/>
    <w:rsid w:val="54260108"/>
    <w:rsid w:val="54261FAD"/>
    <w:rsid w:val="54271911"/>
    <w:rsid w:val="542720D3"/>
    <w:rsid w:val="54372AB5"/>
    <w:rsid w:val="545A6004"/>
    <w:rsid w:val="54745318"/>
    <w:rsid w:val="548A4B3B"/>
    <w:rsid w:val="549E05E7"/>
    <w:rsid w:val="549E6815"/>
    <w:rsid w:val="54C47921"/>
    <w:rsid w:val="54CA13DC"/>
    <w:rsid w:val="54D97871"/>
    <w:rsid w:val="54E3249D"/>
    <w:rsid w:val="54EC5A2D"/>
    <w:rsid w:val="54F75F49"/>
    <w:rsid w:val="54FB77E7"/>
    <w:rsid w:val="55230AEC"/>
    <w:rsid w:val="5543118E"/>
    <w:rsid w:val="554A42CB"/>
    <w:rsid w:val="554F0B63"/>
    <w:rsid w:val="554F3125"/>
    <w:rsid w:val="556A671B"/>
    <w:rsid w:val="556E7FB9"/>
    <w:rsid w:val="556F3D31"/>
    <w:rsid w:val="55752584"/>
    <w:rsid w:val="558E3654"/>
    <w:rsid w:val="559317CE"/>
    <w:rsid w:val="559519EA"/>
    <w:rsid w:val="55B81234"/>
    <w:rsid w:val="55C45E2B"/>
    <w:rsid w:val="55DF0A16"/>
    <w:rsid w:val="55E22755"/>
    <w:rsid w:val="55F070B2"/>
    <w:rsid w:val="56077881"/>
    <w:rsid w:val="560B3A5A"/>
    <w:rsid w:val="5611010B"/>
    <w:rsid w:val="56111A35"/>
    <w:rsid w:val="56150435"/>
    <w:rsid w:val="56156687"/>
    <w:rsid w:val="561A1EEF"/>
    <w:rsid w:val="561B7A15"/>
    <w:rsid w:val="563F54B2"/>
    <w:rsid w:val="56446F6C"/>
    <w:rsid w:val="56501F08"/>
    <w:rsid w:val="5663384B"/>
    <w:rsid w:val="567A298E"/>
    <w:rsid w:val="567F61F6"/>
    <w:rsid w:val="56821842"/>
    <w:rsid w:val="568B4B9B"/>
    <w:rsid w:val="56A167FD"/>
    <w:rsid w:val="56A47A0A"/>
    <w:rsid w:val="56AD4B11"/>
    <w:rsid w:val="56AE2637"/>
    <w:rsid w:val="56C37E91"/>
    <w:rsid w:val="56D106EB"/>
    <w:rsid w:val="56DA63AE"/>
    <w:rsid w:val="56F269C8"/>
    <w:rsid w:val="56F72230"/>
    <w:rsid w:val="570566FB"/>
    <w:rsid w:val="570D55B0"/>
    <w:rsid w:val="571526B6"/>
    <w:rsid w:val="572C012C"/>
    <w:rsid w:val="57340391"/>
    <w:rsid w:val="57370BA2"/>
    <w:rsid w:val="573963A5"/>
    <w:rsid w:val="5741270A"/>
    <w:rsid w:val="57560D05"/>
    <w:rsid w:val="575647F6"/>
    <w:rsid w:val="576158FB"/>
    <w:rsid w:val="576F06AA"/>
    <w:rsid w:val="57715B3F"/>
    <w:rsid w:val="57877235"/>
    <w:rsid w:val="578841CE"/>
    <w:rsid w:val="578A6C00"/>
    <w:rsid w:val="57A37CC2"/>
    <w:rsid w:val="57A53A3A"/>
    <w:rsid w:val="57A9177C"/>
    <w:rsid w:val="57AD2295"/>
    <w:rsid w:val="57B7551B"/>
    <w:rsid w:val="57C739B1"/>
    <w:rsid w:val="57C93BCD"/>
    <w:rsid w:val="57D02D65"/>
    <w:rsid w:val="57F81DBC"/>
    <w:rsid w:val="57FB7AFE"/>
    <w:rsid w:val="58112E7E"/>
    <w:rsid w:val="58156E12"/>
    <w:rsid w:val="581872E3"/>
    <w:rsid w:val="581A4428"/>
    <w:rsid w:val="58256929"/>
    <w:rsid w:val="5828150C"/>
    <w:rsid w:val="582E3A30"/>
    <w:rsid w:val="58382B00"/>
    <w:rsid w:val="5842572D"/>
    <w:rsid w:val="584C77DE"/>
    <w:rsid w:val="58550FBC"/>
    <w:rsid w:val="58586CFE"/>
    <w:rsid w:val="585A4825"/>
    <w:rsid w:val="585A7A00"/>
    <w:rsid w:val="586B07E0"/>
    <w:rsid w:val="58767185"/>
    <w:rsid w:val="58796E39"/>
    <w:rsid w:val="587A1231"/>
    <w:rsid w:val="588D1703"/>
    <w:rsid w:val="5898359F"/>
    <w:rsid w:val="589870FB"/>
    <w:rsid w:val="58B71C77"/>
    <w:rsid w:val="58C44394"/>
    <w:rsid w:val="58DC7930"/>
    <w:rsid w:val="58E169DF"/>
    <w:rsid w:val="59172716"/>
    <w:rsid w:val="59295DAB"/>
    <w:rsid w:val="592F7A5F"/>
    <w:rsid w:val="593A32A1"/>
    <w:rsid w:val="594F1EAF"/>
    <w:rsid w:val="596638CF"/>
    <w:rsid w:val="59682F71"/>
    <w:rsid w:val="59796F2C"/>
    <w:rsid w:val="59875AED"/>
    <w:rsid w:val="5987789B"/>
    <w:rsid w:val="59926240"/>
    <w:rsid w:val="599975CF"/>
    <w:rsid w:val="59A0095D"/>
    <w:rsid w:val="59A55F73"/>
    <w:rsid w:val="59AA6ED9"/>
    <w:rsid w:val="59AD307A"/>
    <w:rsid w:val="59AF0BA0"/>
    <w:rsid w:val="59BE6DD9"/>
    <w:rsid w:val="59C53F20"/>
    <w:rsid w:val="59C77E38"/>
    <w:rsid w:val="59CF3AB8"/>
    <w:rsid w:val="59E22D24"/>
    <w:rsid w:val="59E24AD2"/>
    <w:rsid w:val="59E7658C"/>
    <w:rsid w:val="5A0C1B4F"/>
    <w:rsid w:val="5A0C5FF2"/>
    <w:rsid w:val="5A313ADA"/>
    <w:rsid w:val="5A461504"/>
    <w:rsid w:val="5A470DD9"/>
    <w:rsid w:val="5A470FDB"/>
    <w:rsid w:val="5A49401A"/>
    <w:rsid w:val="5A53777D"/>
    <w:rsid w:val="5A6B0F6B"/>
    <w:rsid w:val="5A9009D2"/>
    <w:rsid w:val="5A9C3C87"/>
    <w:rsid w:val="5AA71877"/>
    <w:rsid w:val="5AA75D1B"/>
    <w:rsid w:val="5AA91A93"/>
    <w:rsid w:val="5ABF12B7"/>
    <w:rsid w:val="5AC10A99"/>
    <w:rsid w:val="5AF34ABD"/>
    <w:rsid w:val="5B296730"/>
    <w:rsid w:val="5B2B6D40"/>
    <w:rsid w:val="5B491F2D"/>
    <w:rsid w:val="5B4B5FC2"/>
    <w:rsid w:val="5B5A2D8E"/>
    <w:rsid w:val="5B646770"/>
    <w:rsid w:val="5B6D0D13"/>
    <w:rsid w:val="5B6F6839"/>
    <w:rsid w:val="5B793214"/>
    <w:rsid w:val="5B8B1199"/>
    <w:rsid w:val="5B8C391D"/>
    <w:rsid w:val="5BAA5AC3"/>
    <w:rsid w:val="5BAD55B3"/>
    <w:rsid w:val="5BB05D82"/>
    <w:rsid w:val="5BB26369"/>
    <w:rsid w:val="5BC621D1"/>
    <w:rsid w:val="5BC97C52"/>
    <w:rsid w:val="5BDC14E7"/>
    <w:rsid w:val="5BE54D4D"/>
    <w:rsid w:val="5BE72004"/>
    <w:rsid w:val="5BE963CF"/>
    <w:rsid w:val="5BF014BE"/>
    <w:rsid w:val="5BF46D3E"/>
    <w:rsid w:val="5C180C7F"/>
    <w:rsid w:val="5C2313D1"/>
    <w:rsid w:val="5C2C7C86"/>
    <w:rsid w:val="5C5A1297"/>
    <w:rsid w:val="5C5D48E3"/>
    <w:rsid w:val="5C642116"/>
    <w:rsid w:val="5C797DDF"/>
    <w:rsid w:val="5C80234E"/>
    <w:rsid w:val="5CA240BE"/>
    <w:rsid w:val="5CB169DD"/>
    <w:rsid w:val="5CBF559E"/>
    <w:rsid w:val="5CC656EB"/>
    <w:rsid w:val="5CC901CB"/>
    <w:rsid w:val="5CDC7EFE"/>
    <w:rsid w:val="5CE13766"/>
    <w:rsid w:val="5CE172C2"/>
    <w:rsid w:val="5CE2303B"/>
    <w:rsid w:val="5CF74D38"/>
    <w:rsid w:val="5CF81BCF"/>
    <w:rsid w:val="5D02548B"/>
    <w:rsid w:val="5D080CF3"/>
    <w:rsid w:val="5D0E2082"/>
    <w:rsid w:val="5D155785"/>
    <w:rsid w:val="5D395350"/>
    <w:rsid w:val="5D447851"/>
    <w:rsid w:val="5D662EF4"/>
    <w:rsid w:val="5D804D2D"/>
    <w:rsid w:val="5D8D2FA6"/>
    <w:rsid w:val="5D9E1657"/>
    <w:rsid w:val="5DC10EA2"/>
    <w:rsid w:val="5DD961EC"/>
    <w:rsid w:val="5DDC3F2E"/>
    <w:rsid w:val="5DE0757A"/>
    <w:rsid w:val="5DEC1623"/>
    <w:rsid w:val="5E16565A"/>
    <w:rsid w:val="5E192E87"/>
    <w:rsid w:val="5E27164D"/>
    <w:rsid w:val="5E3653EC"/>
    <w:rsid w:val="5E39312E"/>
    <w:rsid w:val="5E435D5B"/>
    <w:rsid w:val="5E5835B4"/>
    <w:rsid w:val="5E5B4E53"/>
    <w:rsid w:val="5E6C52B2"/>
    <w:rsid w:val="5E784CD0"/>
    <w:rsid w:val="5E7A79CF"/>
    <w:rsid w:val="5E800D5D"/>
    <w:rsid w:val="5E8E5228"/>
    <w:rsid w:val="5E99597B"/>
    <w:rsid w:val="5EA11287"/>
    <w:rsid w:val="5EAC3900"/>
    <w:rsid w:val="5EB6477F"/>
    <w:rsid w:val="5EB804F7"/>
    <w:rsid w:val="5EBF3633"/>
    <w:rsid w:val="5EC21376"/>
    <w:rsid w:val="5ECA1FD8"/>
    <w:rsid w:val="5ECB022A"/>
    <w:rsid w:val="5EEE0CA7"/>
    <w:rsid w:val="5F030736"/>
    <w:rsid w:val="5F08322C"/>
    <w:rsid w:val="5F1115F5"/>
    <w:rsid w:val="5F166FCB"/>
    <w:rsid w:val="5F1F2324"/>
    <w:rsid w:val="5F21609C"/>
    <w:rsid w:val="5F296CFF"/>
    <w:rsid w:val="5F2D4D6D"/>
    <w:rsid w:val="5F2E6A0B"/>
    <w:rsid w:val="5F370702"/>
    <w:rsid w:val="5F506981"/>
    <w:rsid w:val="5F637DC9"/>
    <w:rsid w:val="5F661D01"/>
    <w:rsid w:val="5FA36AB1"/>
    <w:rsid w:val="5FA56CCD"/>
    <w:rsid w:val="5FCA22E6"/>
    <w:rsid w:val="5FCF5AF8"/>
    <w:rsid w:val="5FD41360"/>
    <w:rsid w:val="5FD44EBD"/>
    <w:rsid w:val="5FD70805"/>
    <w:rsid w:val="5FD93865"/>
    <w:rsid w:val="5FD939CE"/>
    <w:rsid w:val="5FE5346C"/>
    <w:rsid w:val="5FE5531C"/>
    <w:rsid w:val="5FFB68ED"/>
    <w:rsid w:val="60067040"/>
    <w:rsid w:val="600B4656"/>
    <w:rsid w:val="601E082E"/>
    <w:rsid w:val="60237BF2"/>
    <w:rsid w:val="603E4A2C"/>
    <w:rsid w:val="604007A4"/>
    <w:rsid w:val="60432042"/>
    <w:rsid w:val="604E1113"/>
    <w:rsid w:val="606721D5"/>
    <w:rsid w:val="60771CEC"/>
    <w:rsid w:val="608E7761"/>
    <w:rsid w:val="608F7035"/>
    <w:rsid w:val="609A4358"/>
    <w:rsid w:val="60A75781"/>
    <w:rsid w:val="60AD34FD"/>
    <w:rsid w:val="60AE3960"/>
    <w:rsid w:val="60CF1B28"/>
    <w:rsid w:val="61194F52"/>
    <w:rsid w:val="611A0FF5"/>
    <w:rsid w:val="61356498"/>
    <w:rsid w:val="6138591F"/>
    <w:rsid w:val="613876CD"/>
    <w:rsid w:val="61447E20"/>
    <w:rsid w:val="61453B98"/>
    <w:rsid w:val="61587D6F"/>
    <w:rsid w:val="616E6A18"/>
    <w:rsid w:val="617526CF"/>
    <w:rsid w:val="61785D1C"/>
    <w:rsid w:val="61826B9A"/>
    <w:rsid w:val="618648DC"/>
    <w:rsid w:val="61AE798F"/>
    <w:rsid w:val="61B964E7"/>
    <w:rsid w:val="61C55316"/>
    <w:rsid w:val="61D2163B"/>
    <w:rsid w:val="61E3617D"/>
    <w:rsid w:val="61E67129"/>
    <w:rsid w:val="621C0D9D"/>
    <w:rsid w:val="621D6ED0"/>
    <w:rsid w:val="62292A8A"/>
    <w:rsid w:val="62373E29"/>
    <w:rsid w:val="62521D1E"/>
    <w:rsid w:val="62540537"/>
    <w:rsid w:val="62753841"/>
    <w:rsid w:val="62970C2B"/>
    <w:rsid w:val="62B114E5"/>
    <w:rsid w:val="62B651F3"/>
    <w:rsid w:val="62C531E2"/>
    <w:rsid w:val="62C84A81"/>
    <w:rsid w:val="62CC4571"/>
    <w:rsid w:val="62E62033"/>
    <w:rsid w:val="62EB1EBF"/>
    <w:rsid w:val="630A5099"/>
    <w:rsid w:val="6315515C"/>
    <w:rsid w:val="631B69F2"/>
    <w:rsid w:val="63393BD9"/>
    <w:rsid w:val="63402869"/>
    <w:rsid w:val="634C6E4A"/>
    <w:rsid w:val="63500CFE"/>
    <w:rsid w:val="635602DE"/>
    <w:rsid w:val="635822A8"/>
    <w:rsid w:val="635D341B"/>
    <w:rsid w:val="635D675D"/>
    <w:rsid w:val="63892462"/>
    <w:rsid w:val="63A707BD"/>
    <w:rsid w:val="63B80C0C"/>
    <w:rsid w:val="63C139AA"/>
    <w:rsid w:val="63C83C7E"/>
    <w:rsid w:val="63CE2F86"/>
    <w:rsid w:val="63D23E09"/>
    <w:rsid w:val="63E5460A"/>
    <w:rsid w:val="63F20007"/>
    <w:rsid w:val="64155AA4"/>
    <w:rsid w:val="642301C1"/>
    <w:rsid w:val="642B3519"/>
    <w:rsid w:val="642B52C7"/>
    <w:rsid w:val="643A3A59"/>
    <w:rsid w:val="64412D3D"/>
    <w:rsid w:val="645B3E33"/>
    <w:rsid w:val="64610CE9"/>
    <w:rsid w:val="646E48D7"/>
    <w:rsid w:val="647749B0"/>
    <w:rsid w:val="647B7FFD"/>
    <w:rsid w:val="649B2251"/>
    <w:rsid w:val="649C6825"/>
    <w:rsid w:val="64B230AE"/>
    <w:rsid w:val="64C5571C"/>
    <w:rsid w:val="64D94532"/>
    <w:rsid w:val="64E33DF4"/>
    <w:rsid w:val="64E60BF8"/>
    <w:rsid w:val="64F65EA1"/>
    <w:rsid w:val="6501706E"/>
    <w:rsid w:val="65037FF2"/>
    <w:rsid w:val="65051FBC"/>
    <w:rsid w:val="650E70C3"/>
    <w:rsid w:val="651B358E"/>
    <w:rsid w:val="652341F0"/>
    <w:rsid w:val="65240694"/>
    <w:rsid w:val="65256EAA"/>
    <w:rsid w:val="65266216"/>
    <w:rsid w:val="6531690D"/>
    <w:rsid w:val="65385EEE"/>
    <w:rsid w:val="653A7EB8"/>
    <w:rsid w:val="65404DA2"/>
    <w:rsid w:val="654277D0"/>
    <w:rsid w:val="654F3237"/>
    <w:rsid w:val="655F347A"/>
    <w:rsid w:val="65654809"/>
    <w:rsid w:val="6568285E"/>
    <w:rsid w:val="65694370"/>
    <w:rsid w:val="656A1E1F"/>
    <w:rsid w:val="656A2DB1"/>
    <w:rsid w:val="657038D9"/>
    <w:rsid w:val="657A4758"/>
    <w:rsid w:val="657F3B1C"/>
    <w:rsid w:val="658904F7"/>
    <w:rsid w:val="658C6239"/>
    <w:rsid w:val="658D7C6C"/>
    <w:rsid w:val="65901886"/>
    <w:rsid w:val="65AC25F4"/>
    <w:rsid w:val="65D35C16"/>
    <w:rsid w:val="65D73958"/>
    <w:rsid w:val="65E87914"/>
    <w:rsid w:val="65EB3DBF"/>
    <w:rsid w:val="65F71905"/>
    <w:rsid w:val="66044022"/>
    <w:rsid w:val="66091638"/>
    <w:rsid w:val="660B3602"/>
    <w:rsid w:val="66195D1F"/>
    <w:rsid w:val="66240220"/>
    <w:rsid w:val="662415EA"/>
    <w:rsid w:val="662D17CA"/>
    <w:rsid w:val="663C37BC"/>
    <w:rsid w:val="664D7E66"/>
    <w:rsid w:val="665723A3"/>
    <w:rsid w:val="6659611C"/>
    <w:rsid w:val="665F56FC"/>
    <w:rsid w:val="66611474"/>
    <w:rsid w:val="6679056C"/>
    <w:rsid w:val="66806E3C"/>
    <w:rsid w:val="66874DE1"/>
    <w:rsid w:val="6692162D"/>
    <w:rsid w:val="66AF21DF"/>
    <w:rsid w:val="66B61212"/>
    <w:rsid w:val="66B75538"/>
    <w:rsid w:val="66C8504F"/>
    <w:rsid w:val="66CA5EB1"/>
    <w:rsid w:val="66D20557"/>
    <w:rsid w:val="66E75E1D"/>
    <w:rsid w:val="66ED0F5A"/>
    <w:rsid w:val="66F422E8"/>
    <w:rsid w:val="66F44096"/>
    <w:rsid w:val="66F620CC"/>
    <w:rsid w:val="66F66060"/>
    <w:rsid w:val="67000C8D"/>
    <w:rsid w:val="670D3737"/>
    <w:rsid w:val="670D6F06"/>
    <w:rsid w:val="671E492E"/>
    <w:rsid w:val="67254250"/>
    <w:rsid w:val="6732696D"/>
    <w:rsid w:val="67401089"/>
    <w:rsid w:val="674E19F8"/>
    <w:rsid w:val="67541762"/>
    <w:rsid w:val="676E209B"/>
    <w:rsid w:val="67855FCC"/>
    <w:rsid w:val="6786541F"/>
    <w:rsid w:val="679D028A"/>
    <w:rsid w:val="67DF08A2"/>
    <w:rsid w:val="67ED3203"/>
    <w:rsid w:val="67F65BEC"/>
    <w:rsid w:val="67F705C1"/>
    <w:rsid w:val="67FB3202"/>
    <w:rsid w:val="67FC3CC5"/>
    <w:rsid w:val="680E73DA"/>
    <w:rsid w:val="681C1AF7"/>
    <w:rsid w:val="683A01CF"/>
    <w:rsid w:val="683B7530"/>
    <w:rsid w:val="683C5CF5"/>
    <w:rsid w:val="683D5D7D"/>
    <w:rsid w:val="683F157C"/>
    <w:rsid w:val="684E0C9C"/>
    <w:rsid w:val="68556DB7"/>
    <w:rsid w:val="6864524C"/>
    <w:rsid w:val="68727968"/>
    <w:rsid w:val="68873FB3"/>
    <w:rsid w:val="688D47A2"/>
    <w:rsid w:val="689A2BF4"/>
    <w:rsid w:val="68A35D74"/>
    <w:rsid w:val="68AD09A1"/>
    <w:rsid w:val="68B374E5"/>
    <w:rsid w:val="68BB6607"/>
    <w:rsid w:val="68BC6E36"/>
    <w:rsid w:val="68D35CA3"/>
    <w:rsid w:val="68EB0EAC"/>
    <w:rsid w:val="68F0088D"/>
    <w:rsid w:val="68FD36D6"/>
    <w:rsid w:val="690A7BA1"/>
    <w:rsid w:val="690B1C5C"/>
    <w:rsid w:val="69147ACC"/>
    <w:rsid w:val="69180510"/>
    <w:rsid w:val="69286279"/>
    <w:rsid w:val="69392234"/>
    <w:rsid w:val="693D1D24"/>
    <w:rsid w:val="6942558D"/>
    <w:rsid w:val="69472BA3"/>
    <w:rsid w:val="695D4175"/>
    <w:rsid w:val="697E40EB"/>
    <w:rsid w:val="699B4C9D"/>
    <w:rsid w:val="69A70A85"/>
    <w:rsid w:val="69B55D5F"/>
    <w:rsid w:val="69C2222A"/>
    <w:rsid w:val="69C67F6C"/>
    <w:rsid w:val="69CB5582"/>
    <w:rsid w:val="69CF6648"/>
    <w:rsid w:val="69DF102E"/>
    <w:rsid w:val="69E953D8"/>
    <w:rsid w:val="69EA352F"/>
    <w:rsid w:val="69FA7C16"/>
    <w:rsid w:val="6A024D1C"/>
    <w:rsid w:val="6A136F29"/>
    <w:rsid w:val="6A1F767C"/>
    <w:rsid w:val="6A2323A1"/>
    <w:rsid w:val="6A2B2F4D"/>
    <w:rsid w:val="6A2C1D99"/>
    <w:rsid w:val="6A372C18"/>
    <w:rsid w:val="6A4470E3"/>
    <w:rsid w:val="6A5A6906"/>
    <w:rsid w:val="6A5C5F49"/>
    <w:rsid w:val="6A6C1AAF"/>
    <w:rsid w:val="6A6D6639"/>
    <w:rsid w:val="6A701C86"/>
    <w:rsid w:val="6A7B77E5"/>
    <w:rsid w:val="6A821B13"/>
    <w:rsid w:val="6AA87672"/>
    <w:rsid w:val="6AAD2EDA"/>
    <w:rsid w:val="6ABA55F7"/>
    <w:rsid w:val="6ABC311D"/>
    <w:rsid w:val="6ACB7804"/>
    <w:rsid w:val="6AD422C3"/>
    <w:rsid w:val="6AD66324"/>
    <w:rsid w:val="6ADD7329"/>
    <w:rsid w:val="6AE461D0"/>
    <w:rsid w:val="6AF1726A"/>
    <w:rsid w:val="6B064398"/>
    <w:rsid w:val="6B067241"/>
    <w:rsid w:val="6B1A4EC6"/>
    <w:rsid w:val="6B1B6095"/>
    <w:rsid w:val="6B1B7E43"/>
    <w:rsid w:val="6B2112D3"/>
    <w:rsid w:val="6B32518D"/>
    <w:rsid w:val="6B3453A9"/>
    <w:rsid w:val="6B3E2F63"/>
    <w:rsid w:val="6B413622"/>
    <w:rsid w:val="6B451364"/>
    <w:rsid w:val="6B4D0219"/>
    <w:rsid w:val="6B822D69"/>
    <w:rsid w:val="6B874B1A"/>
    <w:rsid w:val="6B8F25DF"/>
    <w:rsid w:val="6B952E9E"/>
    <w:rsid w:val="6B9F6CC6"/>
    <w:rsid w:val="6BA304AA"/>
    <w:rsid w:val="6BAE6F0A"/>
    <w:rsid w:val="6BBA708B"/>
    <w:rsid w:val="6BCE4EB6"/>
    <w:rsid w:val="6BD84FBA"/>
    <w:rsid w:val="6BE741CA"/>
    <w:rsid w:val="6BF144BF"/>
    <w:rsid w:val="6C00528B"/>
    <w:rsid w:val="6C0C59DE"/>
    <w:rsid w:val="6C0F54CE"/>
    <w:rsid w:val="6C150D37"/>
    <w:rsid w:val="6C1765A4"/>
    <w:rsid w:val="6C30791F"/>
    <w:rsid w:val="6C5A0E3F"/>
    <w:rsid w:val="6C6B0957"/>
    <w:rsid w:val="6C7C0DB6"/>
    <w:rsid w:val="6C951E77"/>
    <w:rsid w:val="6C9E1CD6"/>
    <w:rsid w:val="6CAA59C4"/>
    <w:rsid w:val="6CAC415B"/>
    <w:rsid w:val="6CB467A2"/>
    <w:rsid w:val="6CB77A61"/>
    <w:rsid w:val="6CC87B57"/>
    <w:rsid w:val="6CE931C8"/>
    <w:rsid w:val="6CF70173"/>
    <w:rsid w:val="6D266F73"/>
    <w:rsid w:val="6D286848"/>
    <w:rsid w:val="6D2B69DA"/>
    <w:rsid w:val="6D2F7BD6"/>
    <w:rsid w:val="6D336BEC"/>
    <w:rsid w:val="6D415B5B"/>
    <w:rsid w:val="6D617FAC"/>
    <w:rsid w:val="6D65184A"/>
    <w:rsid w:val="6D655CEE"/>
    <w:rsid w:val="6D702199"/>
    <w:rsid w:val="6D7A3B1D"/>
    <w:rsid w:val="6D8343C6"/>
    <w:rsid w:val="6D934609"/>
    <w:rsid w:val="6D943EDD"/>
    <w:rsid w:val="6DA210B3"/>
    <w:rsid w:val="6DBE20E8"/>
    <w:rsid w:val="6DC24EEE"/>
    <w:rsid w:val="6DCC18C9"/>
    <w:rsid w:val="6DCC7B1B"/>
    <w:rsid w:val="6DDC03AE"/>
    <w:rsid w:val="6DE36C13"/>
    <w:rsid w:val="6DFD7CD4"/>
    <w:rsid w:val="6E1E75B4"/>
    <w:rsid w:val="6E2F77AF"/>
    <w:rsid w:val="6E386F5E"/>
    <w:rsid w:val="6E407BC1"/>
    <w:rsid w:val="6E4E0530"/>
    <w:rsid w:val="6E58315D"/>
    <w:rsid w:val="6E672A38"/>
    <w:rsid w:val="6E6E472E"/>
    <w:rsid w:val="6E79329A"/>
    <w:rsid w:val="6E88355F"/>
    <w:rsid w:val="6EA77C40"/>
    <w:rsid w:val="6EA939B8"/>
    <w:rsid w:val="6EAB14DE"/>
    <w:rsid w:val="6EB1286D"/>
    <w:rsid w:val="6EB14BEE"/>
    <w:rsid w:val="6EBD7464"/>
    <w:rsid w:val="6EC25C13"/>
    <w:rsid w:val="6EC425A0"/>
    <w:rsid w:val="6ECE1D02"/>
    <w:rsid w:val="6ED70525"/>
    <w:rsid w:val="6EE82732"/>
    <w:rsid w:val="6EEB3FD1"/>
    <w:rsid w:val="6F0A08FB"/>
    <w:rsid w:val="6F0D03EB"/>
    <w:rsid w:val="6F176B74"/>
    <w:rsid w:val="6F190B3E"/>
    <w:rsid w:val="6F1C062E"/>
    <w:rsid w:val="6F1C418A"/>
    <w:rsid w:val="6F30244F"/>
    <w:rsid w:val="6F484F7F"/>
    <w:rsid w:val="6F4A519B"/>
    <w:rsid w:val="6F4D6A39"/>
    <w:rsid w:val="6F506C35"/>
    <w:rsid w:val="6F653D83"/>
    <w:rsid w:val="6F6B5112"/>
    <w:rsid w:val="6F751AEC"/>
    <w:rsid w:val="6F8F0CA2"/>
    <w:rsid w:val="6F9208F0"/>
    <w:rsid w:val="6F993A2D"/>
    <w:rsid w:val="6F997ED1"/>
    <w:rsid w:val="6FA348AB"/>
    <w:rsid w:val="6FC211D5"/>
    <w:rsid w:val="6FE56C72"/>
    <w:rsid w:val="6FF2313D"/>
    <w:rsid w:val="6FF3138F"/>
    <w:rsid w:val="6FF53A01"/>
    <w:rsid w:val="6FF661BE"/>
    <w:rsid w:val="6FFB0243"/>
    <w:rsid w:val="6FFD078A"/>
    <w:rsid w:val="70090BB2"/>
    <w:rsid w:val="70117A67"/>
    <w:rsid w:val="70271038"/>
    <w:rsid w:val="70335C2F"/>
    <w:rsid w:val="703C4108"/>
    <w:rsid w:val="704B11CB"/>
    <w:rsid w:val="704C7282"/>
    <w:rsid w:val="70531E2E"/>
    <w:rsid w:val="705826DF"/>
    <w:rsid w:val="70671D7D"/>
    <w:rsid w:val="70785D38"/>
    <w:rsid w:val="708244C1"/>
    <w:rsid w:val="7084648B"/>
    <w:rsid w:val="709366CE"/>
    <w:rsid w:val="709A7D8E"/>
    <w:rsid w:val="70CC07C1"/>
    <w:rsid w:val="70D94A29"/>
    <w:rsid w:val="70EE591B"/>
    <w:rsid w:val="70F96E79"/>
    <w:rsid w:val="71017ADB"/>
    <w:rsid w:val="711517D9"/>
    <w:rsid w:val="711A33BE"/>
    <w:rsid w:val="711F2F44"/>
    <w:rsid w:val="71202DBA"/>
    <w:rsid w:val="71267542"/>
    <w:rsid w:val="71306613"/>
    <w:rsid w:val="71306951"/>
    <w:rsid w:val="713C0B14"/>
    <w:rsid w:val="713D5823"/>
    <w:rsid w:val="713D663A"/>
    <w:rsid w:val="714E48D5"/>
    <w:rsid w:val="715B3690"/>
    <w:rsid w:val="715E0A8A"/>
    <w:rsid w:val="71667BF5"/>
    <w:rsid w:val="718801FD"/>
    <w:rsid w:val="71900E5F"/>
    <w:rsid w:val="71A52D40"/>
    <w:rsid w:val="71A566B9"/>
    <w:rsid w:val="71AF5789"/>
    <w:rsid w:val="71BC7EA6"/>
    <w:rsid w:val="71DD4880"/>
    <w:rsid w:val="7219532C"/>
    <w:rsid w:val="721B697B"/>
    <w:rsid w:val="7226263B"/>
    <w:rsid w:val="722647FD"/>
    <w:rsid w:val="723637B5"/>
    <w:rsid w:val="724317B8"/>
    <w:rsid w:val="72691DDC"/>
    <w:rsid w:val="726A16B0"/>
    <w:rsid w:val="72771584"/>
    <w:rsid w:val="727A38E1"/>
    <w:rsid w:val="727B1B10"/>
    <w:rsid w:val="727E6F0A"/>
    <w:rsid w:val="72A9042B"/>
    <w:rsid w:val="72BB015E"/>
    <w:rsid w:val="72C54B39"/>
    <w:rsid w:val="72C963D7"/>
    <w:rsid w:val="72CA7C8D"/>
    <w:rsid w:val="72CE60E3"/>
    <w:rsid w:val="72E90FA5"/>
    <w:rsid w:val="72F1592E"/>
    <w:rsid w:val="730443A9"/>
    <w:rsid w:val="73133AF6"/>
    <w:rsid w:val="73147D25"/>
    <w:rsid w:val="73223D39"/>
    <w:rsid w:val="73373C88"/>
    <w:rsid w:val="733E0E99"/>
    <w:rsid w:val="738A025C"/>
    <w:rsid w:val="738B5D82"/>
    <w:rsid w:val="73922C6D"/>
    <w:rsid w:val="73972979"/>
    <w:rsid w:val="73B250BD"/>
    <w:rsid w:val="73C117A4"/>
    <w:rsid w:val="73D54867"/>
    <w:rsid w:val="73DC4504"/>
    <w:rsid w:val="73DC6AD2"/>
    <w:rsid w:val="73DE2356"/>
    <w:rsid w:val="73E3189F"/>
    <w:rsid w:val="73E84F83"/>
    <w:rsid w:val="73EE3439"/>
    <w:rsid w:val="740042FF"/>
    <w:rsid w:val="74031957"/>
    <w:rsid w:val="741D116D"/>
    <w:rsid w:val="742E508B"/>
    <w:rsid w:val="7431692A"/>
    <w:rsid w:val="74350C36"/>
    <w:rsid w:val="743C2732"/>
    <w:rsid w:val="74406B6D"/>
    <w:rsid w:val="74695972"/>
    <w:rsid w:val="748051BB"/>
    <w:rsid w:val="74905CB4"/>
    <w:rsid w:val="749D7E6B"/>
    <w:rsid w:val="74BB2A45"/>
    <w:rsid w:val="74BB61F3"/>
    <w:rsid w:val="74D304DE"/>
    <w:rsid w:val="74E120FE"/>
    <w:rsid w:val="74E67714"/>
    <w:rsid w:val="74EA206E"/>
    <w:rsid w:val="74EE0377"/>
    <w:rsid w:val="74F33BDF"/>
    <w:rsid w:val="74FA6D37"/>
    <w:rsid w:val="75095157"/>
    <w:rsid w:val="750B153C"/>
    <w:rsid w:val="751F6782"/>
    <w:rsid w:val="7521074C"/>
    <w:rsid w:val="752F0976"/>
    <w:rsid w:val="75610B49"/>
    <w:rsid w:val="756248C1"/>
    <w:rsid w:val="75661B1F"/>
    <w:rsid w:val="75687A5F"/>
    <w:rsid w:val="756D3392"/>
    <w:rsid w:val="759727BC"/>
    <w:rsid w:val="759F209F"/>
    <w:rsid w:val="75CD2682"/>
    <w:rsid w:val="75D65CF7"/>
    <w:rsid w:val="75DE63BC"/>
    <w:rsid w:val="75E35A02"/>
    <w:rsid w:val="75F145C2"/>
    <w:rsid w:val="75FC4D15"/>
    <w:rsid w:val="760B6D06"/>
    <w:rsid w:val="760F03D3"/>
    <w:rsid w:val="762252A0"/>
    <w:rsid w:val="7625426C"/>
    <w:rsid w:val="765C7562"/>
    <w:rsid w:val="76632274"/>
    <w:rsid w:val="766905FD"/>
    <w:rsid w:val="766B7857"/>
    <w:rsid w:val="766F6A3A"/>
    <w:rsid w:val="76741C9F"/>
    <w:rsid w:val="767C19B2"/>
    <w:rsid w:val="767E1BCE"/>
    <w:rsid w:val="76830F93"/>
    <w:rsid w:val="76A84D99"/>
    <w:rsid w:val="76AE0F04"/>
    <w:rsid w:val="76AE4262"/>
    <w:rsid w:val="76B13D52"/>
    <w:rsid w:val="76B97A51"/>
    <w:rsid w:val="76BB697E"/>
    <w:rsid w:val="76D637B8"/>
    <w:rsid w:val="76EC6B38"/>
    <w:rsid w:val="76F31C74"/>
    <w:rsid w:val="76F55C40"/>
    <w:rsid w:val="76F679B7"/>
    <w:rsid w:val="770519A8"/>
    <w:rsid w:val="770B16B4"/>
    <w:rsid w:val="77171B2C"/>
    <w:rsid w:val="773329B9"/>
    <w:rsid w:val="77454595"/>
    <w:rsid w:val="774633D3"/>
    <w:rsid w:val="7769462C"/>
    <w:rsid w:val="77777D44"/>
    <w:rsid w:val="777D3C34"/>
    <w:rsid w:val="778356EE"/>
    <w:rsid w:val="778B6351"/>
    <w:rsid w:val="778E7BEF"/>
    <w:rsid w:val="77A8194D"/>
    <w:rsid w:val="77B04009"/>
    <w:rsid w:val="77CB2BF1"/>
    <w:rsid w:val="77E90CC7"/>
    <w:rsid w:val="77FC0FFD"/>
    <w:rsid w:val="77FE6B23"/>
    <w:rsid w:val="781225CE"/>
    <w:rsid w:val="78184C6F"/>
    <w:rsid w:val="782A0C45"/>
    <w:rsid w:val="782C2386"/>
    <w:rsid w:val="782F347B"/>
    <w:rsid w:val="78372035"/>
    <w:rsid w:val="783B1B25"/>
    <w:rsid w:val="783E1615"/>
    <w:rsid w:val="783E66C9"/>
    <w:rsid w:val="784604CA"/>
    <w:rsid w:val="784D777F"/>
    <w:rsid w:val="7855070D"/>
    <w:rsid w:val="78593FB6"/>
    <w:rsid w:val="785A2921"/>
    <w:rsid w:val="78673536"/>
    <w:rsid w:val="786A065C"/>
    <w:rsid w:val="786F7A21"/>
    <w:rsid w:val="78A31478"/>
    <w:rsid w:val="78A82F32"/>
    <w:rsid w:val="78AA2807"/>
    <w:rsid w:val="78AC449F"/>
    <w:rsid w:val="78B10039"/>
    <w:rsid w:val="78C338C8"/>
    <w:rsid w:val="78CD32B5"/>
    <w:rsid w:val="78E8332F"/>
    <w:rsid w:val="78FB242B"/>
    <w:rsid w:val="792627D5"/>
    <w:rsid w:val="79330A4E"/>
    <w:rsid w:val="793904A9"/>
    <w:rsid w:val="794235F2"/>
    <w:rsid w:val="794E7636"/>
    <w:rsid w:val="79507900"/>
    <w:rsid w:val="795506F4"/>
    <w:rsid w:val="795A247F"/>
    <w:rsid w:val="796230E1"/>
    <w:rsid w:val="798175E5"/>
    <w:rsid w:val="79841250"/>
    <w:rsid w:val="79A50707"/>
    <w:rsid w:val="79D044EF"/>
    <w:rsid w:val="79E64256"/>
    <w:rsid w:val="79F835DA"/>
    <w:rsid w:val="7A014471"/>
    <w:rsid w:val="7A0E55E5"/>
    <w:rsid w:val="7A0F3269"/>
    <w:rsid w:val="7A1B04E8"/>
    <w:rsid w:val="7A1D7B0F"/>
    <w:rsid w:val="7A1E330B"/>
    <w:rsid w:val="7A440A39"/>
    <w:rsid w:val="7A456C8B"/>
    <w:rsid w:val="7A5E5F9F"/>
    <w:rsid w:val="7A68752D"/>
    <w:rsid w:val="7A807CC3"/>
    <w:rsid w:val="7A8157E9"/>
    <w:rsid w:val="7A902D98"/>
    <w:rsid w:val="7AAA4D40"/>
    <w:rsid w:val="7AB21E46"/>
    <w:rsid w:val="7AC35E02"/>
    <w:rsid w:val="7AC73B44"/>
    <w:rsid w:val="7ACF47A6"/>
    <w:rsid w:val="7AD16FF6"/>
    <w:rsid w:val="7AD87AFF"/>
    <w:rsid w:val="7AEC5358"/>
    <w:rsid w:val="7AFB1A3F"/>
    <w:rsid w:val="7B025360"/>
    <w:rsid w:val="7B072D9F"/>
    <w:rsid w:val="7B0F7299"/>
    <w:rsid w:val="7B152B01"/>
    <w:rsid w:val="7B1556F9"/>
    <w:rsid w:val="7B2E3BC3"/>
    <w:rsid w:val="7B346CFF"/>
    <w:rsid w:val="7B3A6578"/>
    <w:rsid w:val="7B3F5DCD"/>
    <w:rsid w:val="7B654A79"/>
    <w:rsid w:val="7B7B66DC"/>
    <w:rsid w:val="7B8961B7"/>
    <w:rsid w:val="7B8D79B4"/>
    <w:rsid w:val="7B8E6410"/>
    <w:rsid w:val="7B971768"/>
    <w:rsid w:val="7BA2010D"/>
    <w:rsid w:val="7BAC2D3A"/>
    <w:rsid w:val="7BB5399C"/>
    <w:rsid w:val="7BCA420F"/>
    <w:rsid w:val="7BD247F3"/>
    <w:rsid w:val="7BE8206D"/>
    <w:rsid w:val="7BEC4A0E"/>
    <w:rsid w:val="7C08209B"/>
    <w:rsid w:val="7C142DB9"/>
    <w:rsid w:val="7C2154D6"/>
    <w:rsid w:val="7C25072B"/>
    <w:rsid w:val="7C2E1CCB"/>
    <w:rsid w:val="7C32323F"/>
    <w:rsid w:val="7C35189D"/>
    <w:rsid w:val="7C352C27"/>
    <w:rsid w:val="7C374CF9"/>
    <w:rsid w:val="7C4D0FDE"/>
    <w:rsid w:val="7C532359"/>
    <w:rsid w:val="7C686C61"/>
    <w:rsid w:val="7C707B9F"/>
    <w:rsid w:val="7C8D4118"/>
    <w:rsid w:val="7C8F0691"/>
    <w:rsid w:val="7C9A455D"/>
    <w:rsid w:val="7CA13F21"/>
    <w:rsid w:val="7CA32436"/>
    <w:rsid w:val="7CB023B6"/>
    <w:rsid w:val="7CB77BE8"/>
    <w:rsid w:val="7CBE0F77"/>
    <w:rsid w:val="7CC6546E"/>
    <w:rsid w:val="7CCB4BA1"/>
    <w:rsid w:val="7CCD2F68"/>
    <w:rsid w:val="7CD12A58"/>
    <w:rsid w:val="7CD808E6"/>
    <w:rsid w:val="7CD90809"/>
    <w:rsid w:val="7CEA1D6C"/>
    <w:rsid w:val="7D083FA0"/>
    <w:rsid w:val="7D1110A6"/>
    <w:rsid w:val="7D1C5429"/>
    <w:rsid w:val="7D1C7A4B"/>
    <w:rsid w:val="7D221505"/>
    <w:rsid w:val="7D2373CA"/>
    <w:rsid w:val="7D2A2168"/>
    <w:rsid w:val="7D402163"/>
    <w:rsid w:val="7D43322A"/>
    <w:rsid w:val="7D4746C7"/>
    <w:rsid w:val="7D6A4C5A"/>
    <w:rsid w:val="7D6C452F"/>
    <w:rsid w:val="7D793F39"/>
    <w:rsid w:val="7D7A4E9D"/>
    <w:rsid w:val="7DA71A0B"/>
    <w:rsid w:val="7DAE4B47"/>
    <w:rsid w:val="7DB02CC7"/>
    <w:rsid w:val="7DB639FC"/>
    <w:rsid w:val="7DBB1012"/>
    <w:rsid w:val="7DC720AD"/>
    <w:rsid w:val="7DCC76C3"/>
    <w:rsid w:val="7DEC4F3D"/>
    <w:rsid w:val="7DFC793D"/>
    <w:rsid w:val="7E366B72"/>
    <w:rsid w:val="7E370FE0"/>
    <w:rsid w:val="7E503BFB"/>
    <w:rsid w:val="7E5C7C58"/>
    <w:rsid w:val="7E79196E"/>
    <w:rsid w:val="7E794BBF"/>
    <w:rsid w:val="7E857F9E"/>
    <w:rsid w:val="7E8C18F4"/>
    <w:rsid w:val="7E9A331D"/>
    <w:rsid w:val="7E9F10B2"/>
    <w:rsid w:val="7EB443DF"/>
    <w:rsid w:val="7ED56104"/>
    <w:rsid w:val="7EE8052D"/>
    <w:rsid w:val="7EFD4FD2"/>
    <w:rsid w:val="7EFE00B4"/>
    <w:rsid w:val="7F0D7F93"/>
    <w:rsid w:val="7F14190B"/>
    <w:rsid w:val="7F196938"/>
    <w:rsid w:val="7F2257ED"/>
    <w:rsid w:val="7F2A46A1"/>
    <w:rsid w:val="7F2D4C94"/>
    <w:rsid w:val="7F3379FA"/>
    <w:rsid w:val="7F5733E2"/>
    <w:rsid w:val="7F6F3D01"/>
    <w:rsid w:val="7F995383"/>
    <w:rsid w:val="7FDA7E75"/>
    <w:rsid w:val="7FE72E38"/>
    <w:rsid w:val="7FEA3E31"/>
    <w:rsid w:val="7FF54CAF"/>
    <w:rsid w:val="7FFD3B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qFormat="1" w:unhideWhenUsed="0" w:uiPriority="39" w:semiHidden="0" w:name="toc 3"/>
    <w:lsdException w:uiPriority="39" w:name="toc 4"/>
    <w:lsdException w:qFormat="1" w:unhideWhenUsed="0" w:uiPriority="39"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iPriority="99" w:semiHidden="0"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2"/>
      <w:lang w:val="en-US" w:eastAsia="zh-CN" w:bidi="ar-SA"/>
    </w:rPr>
  </w:style>
  <w:style w:type="paragraph" w:styleId="3">
    <w:name w:val="heading 1"/>
    <w:basedOn w:val="1"/>
    <w:next w:val="1"/>
    <w:link w:val="53"/>
    <w:autoRedefine/>
    <w:qFormat/>
    <w:uiPriority w:val="0"/>
    <w:pPr>
      <w:keepNext/>
      <w:keepLines/>
      <w:numPr>
        <w:ilvl w:val="0"/>
        <w:numId w:val="1"/>
      </w:numPr>
      <w:adjustRightInd w:val="0"/>
      <w:spacing w:before="340" w:after="330" w:line="578" w:lineRule="atLeast"/>
      <w:ind w:left="0"/>
      <w:jc w:val="left"/>
      <w:textAlignment w:val="baseline"/>
      <w:outlineLvl w:val="0"/>
    </w:pPr>
    <w:rPr>
      <w:rFonts w:cs="Times New Roman"/>
      <w:b/>
      <w:bCs/>
      <w:kern w:val="44"/>
      <w:sz w:val="44"/>
      <w:szCs w:val="44"/>
    </w:rPr>
  </w:style>
  <w:style w:type="paragraph" w:styleId="4">
    <w:name w:val="heading 2"/>
    <w:basedOn w:val="1"/>
    <w:next w:val="1"/>
    <w:link w:val="54"/>
    <w:autoRedefine/>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paragraph" w:styleId="5">
    <w:name w:val="heading 3"/>
    <w:basedOn w:val="1"/>
    <w:next w:val="1"/>
    <w:link w:val="55"/>
    <w:autoRedefine/>
    <w:qFormat/>
    <w:uiPriority w:val="0"/>
    <w:pPr>
      <w:autoSpaceDE w:val="0"/>
      <w:autoSpaceDN w:val="0"/>
      <w:adjustRightInd w:val="0"/>
      <w:spacing w:afterLines="50" w:line="360" w:lineRule="auto"/>
      <w:ind w:left="-4"/>
      <w:jc w:val="center"/>
      <w:outlineLvl w:val="2"/>
    </w:pPr>
    <w:rPr>
      <w:rFonts w:ascii="宋体" w:hAnsi="宋体" w:cs="Times New Roman"/>
      <w:b/>
      <w:color w:val="000000"/>
      <w:kern w:val="0"/>
      <w:sz w:val="24"/>
      <w:szCs w:val="20"/>
    </w:rPr>
  </w:style>
  <w:style w:type="paragraph" w:styleId="6">
    <w:name w:val="heading 4"/>
    <w:basedOn w:val="1"/>
    <w:next w:val="1"/>
    <w:link w:val="56"/>
    <w:autoRedefine/>
    <w:qFormat/>
    <w:uiPriority w:val="0"/>
    <w:pPr>
      <w:keepNext/>
      <w:keepLines/>
      <w:numPr>
        <w:ilvl w:val="3"/>
        <w:numId w:val="1"/>
      </w:numPr>
      <w:adjustRightInd w:val="0"/>
      <w:spacing w:before="280" w:after="290" w:line="376" w:lineRule="atLeast"/>
      <w:jc w:val="left"/>
      <w:textAlignment w:val="baseline"/>
      <w:outlineLvl w:val="3"/>
    </w:pPr>
    <w:rPr>
      <w:rFonts w:ascii="Arial" w:hAnsi="Arial" w:eastAsia="黑体" w:cs="Times New Roman"/>
      <w:b/>
      <w:bCs/>
      <w:kern w:val="0"/>
      <w:sz w:val="28"/>
      <w:szCs w:val="28"/>
    </w:rPr>
  </w:style>
  <w:style w:type="character" w:default="1" w:styleId="33">
    <w:name w:val="Default Paragraph Font"/>
    <w:autoRedefine/>
    <w:semiHidden/>
    <w:unhideWhenUsed/>
    <w:qFormat/>
    <w:uiPriority w:val="1"/>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2">
    <w:name w:val="table of authorities"/>
    <w:basedOn w:val="1"/>
    <w:next w:val="1"/>
    <w:autoRedefine/>
    <w:unhideWhenUsed/>
    <w:qFormat/>
    <w:uiPriority w:val="99"/>
    <w:pPr>
      <w:spacing w:line="500" w:lineRule="exact"/>
      <w:ind w:left="210" w:hanging="210" w:firstLineChars="200"/>
      <w:jc w:val="left"/>
    </w:pPr>
    <w:rPr>
      <w:rFonts w:ascii="Calibri" w:hAnsi="Calibri"/>
      <w:sz w:val="20"/>
      <w:szCs w:val="20"/>
    </w:rPr>
  </w:style>
  <w:style w:type="paragraph" w:styleId="7">
    <w:name w:val="Normal Indent"/>
    <w:basedOn w:val="1"/>
    <w:autoRedefine/>
    <w:qFormat/>
    <w:uiPriority w:val="0"/>
    <w:pPr>
      <w:ind w:firstLine="425"/>
    </w:pPr>
    <w:rPr>
      <w:rFonts w:ascii="Times New Roman" w:hAnsi="Times New Roman" w:cs="Times New Roman"/>
      <w:szCs w:val="20"/>
    </w:rPr>
  </w:style>
  <w:style w:type="paragraph" w:styleId="8">
    <w:name w:val="caption"/>
    <w:basedOn w:val="1"/>
    <w:next w:val="1"/>
    <w:autoRedefine/>
    <w:qFormat/>
    <w:uiPriority w:val="0"/>
    <w:rPr>
      <w:rFonts w:ascii="Arial" w:hAnsi="Arial" w:eastAsia="黑体" w:cs="Arial"/>
      <w:sz w:val="20"/>
      <w:szCs w:val="20"/>
    </w:rPr>
  </w:style>
  <w:style w:type="paragraph" w:styleId="9">
    <w:name w:val="annotation text"/>
    <w:basedOn w:val="1"/>
    <w:link w:val="79"/>
    <w:autoRedefine/>
    <w:semiHidden/>
    <w:unhideWhenUsed/>
    <w:qFormat/>
    <w:uiPriority w:val="99"/>
    <w:pPr>
      <w:jc w:val="left"/>
    </w:pPr>
  </w:style>
  <w:style w:type="paragraph" w:styleId="10">
    <w:name w:val="Body Text 3"/>
    <w:basedOn w:val="1"/>
    <w:link w:val="63"/>
    <w:autoRedefine/>
    <w:qFormat/>
    <w:uiPriority w:val="0"/>
    <w:rPr>
      <w:rFonts w:ascii="Times New Roman" w:hAnsi="Times New Roman" w:cs="Times New Roman"/>
      <w:color w:val="FF0000"/>
      <w:sz w:val="24"/>
      <w:szCs w:val="24"/>
    </w:rPr>
  </w:style>
  <w:style w:type="paragraph" w:styleId="11">
    <w:name w:val="Body Text"/>
    <w:basedOn w:val="1"/>
    <w:next w:val="12"/>
    <w:link w:val="65"/>
    <w:autoRedefine/>
    <w:qFormat/>
    <w:uiPriority w:val="99"/>
    <w:pPr>
      <w:spacing w:after="120"/>
    </w:pPr>
  </w:style>
  <w:style w:type="paragraph" w:styleId="12">
    <w:name w:val="Body Text 2"/>
    <w:basedOn w:val="1"/>
    <w:next w:val="11"/>
    <w:autoRedefine/>
    <w:qFormat/>
    <w:uiPriority w:val="0"/>
    <w:pPr>
      <w:jc w:val="center"/>
      <w:outlineLvl w:val="0"/>
    </w:pPr>
    <w:rPr>
      <w:rFonts w:ascii="楷体_GB2312" w:hAnsi="Times New Roman" w:eastAsia="仿宋_GB2312" w:cs="Times New Roman"/>
      <w:sz w:val="30"/>
    </w:rPr>
  </w:style>
  <w:style w:type="paragraph" w:styleId="13">
    <w:name w:val="Body Text Indent"/>
    <w:basedOn w:val="1"/>
    <w:next w:val="14"/>
    <w:link w:val="70"/>
    <w:autoRedefine/>
    <w:qFormat/>
    <w:uiPriority w:val="0"/>
    <w:pPr>
      <w:adjustRightInd w:val="0"/>
      <w:spacing w:after="120" w:line="360" w:lineRule="atLeast"/>
      <w:ind w:left="420" w:leftChars="200"/>
      <w:jc w:val="left"/>
      <w:textAlignment w:val="baseline"/>
    </w:pPr>
    <w:rPr>
      <w:rFonts w:ascii="Times New Roman" w:hAnsi="Times New Roman" w:cs="Times New Roman"/>
      <w:kern w:val="0"/>
      <w:sz w:val="24"/>
      <w:szCs w:val="20"/>
    </w:rPr>
  </w:style>
  <w:style w:type="paragraph" w:styleId="14">
    <w:name w:val="envelope return"/>
    <w:basedOn w:val="1"/>
    <w:autoRedefine/>
    <w:unhideWhenUsed/>
    <w:qFormat/>
    <w:uiPriority w:val="99"/>
    <w:pPr>
      <w:snapToGrid w:val="0"/>
    </w:pPr>
    <w:rPr>
      <w:rFonts w:ascii="Arial" w:hAnsi="Arial"/>
    </w:rPr>
  </w:style>
  <w:style w:type="paragraph" w:styleId="15">
    <w:name w:val="toc 5"/>
    <w:basedOn w:val="1"/>
    <w:next w:val="1"/>
    <w:autoRedefine/>
    <w:qFormat/>
    <w:uiPriority w:val="39"/>
    <w:pPr>
      <w:spacing w:line="276" w:lineRule="auto"/>
      <w:ind w:left="960"/>
      <w:jc w:val="center"/>
    </w:pPr>
    <w:rPr>
      <w:rFonts w:ascii="Times New Roman" w:hAnsi="Times New Roman" w:cs="Times New Roman"/>
      <w:b/>
      <w:color w:val="000000"/>
      <w:sz w:val="36"/>
      <w:szCs w:val="36"/>
    </w:rPr>
  </w:style>
  <w:style w:type="paragraph" w:styleId="16">
    <w:name w:val="toc 3"/>
    <w:basedOn w:val="1"/>
    <w:next w:val="1"/>
    <w:autoRedefine/>
    <w:qFormat/>
    <w:uiPriority w:val="39"/>
    <w:pPr>
      <w:ind w:left="480"/>
      <w:jc w:val="left"/>
    </w:pPr>
    <w:rPr>
      <w:rFonts w:ascii="Times New Roman" w:hAnsi="Times New Roman" w:cs="Times New Roman"/>
      <w:i/>
      <w:iCs/>
      <w:color w:val="0000FF"/>
      <w:sz w:val="20"/>
      <w:szCs w:val="20"/>
    </w:rPr>
  </w:style>
  <w:style w:type="paragraph" w:styleId="17">
    <w:name w:val="Plain Text"/>
    <w:basedOn w:val="1"/>
    <w:link w:val="57"/>
    <w:autoRedefine/>
    <w:qFormat/>
    <w:uiPriority w:val="0"/>
    <w:rPr>
      <w:sz w:val="24"/>
    </w:rPr>
  </w:style>
  <w:style w:type="paragraph" w:styleId="18">
    <w:name w:val="Date"/>
    <w:basedOn w:val="1"/>
    <w:next w:val="1"/>
    <w:autoRedefine/>
    <w:qFormat/>
    <w:uiPriority w:val="99"/>
    <w:pPr>
      <w:ind w:left="100" w:leftChars="2500"/>
    </w:pPr>
  </w:style>
  <w:style w:type="paragraph" w:styleId="19">
    <w:name w:val="Body Text Indent 2"/>
    <w:basedOn w:val="1"/>
    <w:autoRedefine/>
    <w:qFormat/>
    <w:uiPriority w:val="0"/>
    <w:pPr>
      <w:ind w:firstLine="540"/>
    </w:pPr>
    <w:rPr>
      <w:kern w:val="0"/>
      <w:sz w:val="28"/>
      <w:szCs w:val="20"/>
    </w:rPr>
  </w:style>
  <w:style w:type="paragraph" w:styleId="20">
    <w:name w:val="Balloon Text"/>
    <w:basedOn w:val="1"/>
    <w:link w:val="72"/>
    <w:autoRedefine/>
    <w:qFormat/>
    <w:uiPriority w:val="99"/>
    <w:rPr>
      <w:sz w:val="18"/>
      <w:szCs w:val="18"/>
    </w:rPr>
  </w:style>
  <w:style w:type="paragraph" w:styleId="21">
    <w:name w:val="footer"/>
    <w:basedOn w:val="1"/>
    <w:link w:val="59"/>
    <w:autoRedefine/>
    <w:qFormat/>
    <w:uiPriority w:val="99"/>
    <w:pPr>
      <w:tabs>
        <w:tab w:val="center" w:pos="4153"/>
        <w:tab w:val="right" w:pos="8306"/>
      </w:tabs>
      <w:snapToGrid w:val="0"/>
      <w:jc w:val="left"/>
    </w:pPr>
    <w:rPr>
      <w:sz w:val="18"/>
      <w:szCs w:val="18"/>
    </w:rPr>
  </w:style>
  <w:style w:type="paragraph" w:styleId="22">
    <w:name w:val="header"/>
    <w:basedOn w:val="1"/>
    <w:link w:val="60"/>
    <w:autoRedefine/>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autoRedefine/>
    <w:qFormat/>
    <w:uiPriority w:val="39"/>
    <w:pPr>
      <w:spacing w:before="120" w:after="120"/>
      <w:jc w:val="left"/>
    </w:pPr>
    <w:rPr>
      <w:rFonts w:ascii="Times New Roman" w:hAnsi="Times New Roman" w:cs="Times New Roman"/>
      <w:b/>
      <w:bCs/>
      <w:caps/>
      <w:color w:val="0000FF"/>
      <w:sz w:val="20"/>
      <w:szCs w:val="20"/>
    </w:rPr>
  </w:style>
  <w:style w:type="paragraph" w:styleId="24">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5">
    <w:name w:val="HTML Preformatted"/>
    <w:basedOn w:val="1"/>
    <w:link w:val="68"/>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6">
    <w:name w:val="Normal (Web)"/>
    <w:basedOn w:val="1"/>
    <w:autoRedefine/>
    <w:qFormat/>
    <w:uiPriority w:val="99"/>
    <w:rPr>
      <w:rFonts w:cs="Times New Roman"/>
      <w:sz w:val="24"/>
      <w:szCs w:val="24"/>
    </w:rPr>
  </w:style>
  <w:style w:type="paragraph" w:styleId="27">
    <w:name w:val="Title"/>
    <w:basedOn w:val="1"/>
    <w:next w:val="1"/>
    <w:autoRedefine/>
    <w:qFormat/>
    <w:uiPriority w:val="0"/>
    <w:pPr>
      <w:adjustRightInd w:val="0"/>
      <w:spacing w:before="240" w:beforeLines="0" w:after="60" w:afterLines="0" w:line="420" w:lineRule="atLeast"/>
      <w:jc w:val="center"/>
      <w:textAlignment w:val="baseline"/>
      <w:outlineLvl w:val="0"/>
    </w:pPr>
    <w:rPr>
      <w:rFonts w:ascii="Arial" w:hAnsi="Arial"/>
      <w:b/>
      <w:kern w:val="0"/>
      <w:sz w:val="32"/>
      <w:szCs w:val="20"/>
    </w:rPr>
  </w:style>
  <w:style w:type="paragraph" w:styleId="28">
    <w:name w:val="annotation subject"/>
    <w:basedOn w:val="9"/>
    <w:next w:val="9"/>
    <w:link w:val="80"/>
    <w:autoRedefine/>
    <w:semiHidden/>
    <w:unhideWhenUsed/>
    <w:qFormat/>
    <w:uiPriority w:val="99"/>
    <w:rPr>
      <w:b/>
      <w:bCs/>
    </w:rPr>
  </w:style>
  <w:style w:type="paragraph" w:styleId="29">
    <w:name w:val="Body Text First Indent"/>
    <w:basedOn w:val="11"/>
    <w:next w:val="30"/>
    <w:link w:val="66"/>
    <w:autoRedefine/>
    <w:qFormat/>
    <w:uiPriority w:val="0"/>
    <w:pPr>
      <w:ind w:firstLine="420" w:firstLineChars="100"/>
    </w:pPr>
    <w:rPr>
      <w:rFonts w:ascii="宋体" w:hAnsi="Times New Roman" w:cs="Times New Roman"/>
      <w:kern w:val="0"/>
      <w:sz w:val="34"/>
      <w:szCs w:val="20"/>
    </w:rPr>
  </w:style>
  <w:style w:type="paragraph" w:styleId="30">
    <w:name w:val="Body Text First Indent 2"/>
    <w:basedOn w:val="13"/>
    <w:next w:val="1"/>
    <w:autoRedefine/>
    <w:qFormat/>
    <w:uiPriority w:val="99"/>
    <w:pPr>
      <w:ind w:firstLine="420" w:firstLineChars="200"/>
    </w:pPr>
  </w:style>
  <w:style w:type="table" w:styleId="32">
    <w:name w:val="Table Grid"/>
    <w:basedOn w:val="31"/>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autoRedefine/>
    <w:qFormat/>
    <w:uiPriority w:val="22"/>
    <w:rPr>
      <w:b/>
      <w:bCs/>
    </w:rPr>
  </w:style>
  <w:style w:type="character" w:styleId="35">
    <w:name w:val="page number"/>
    <w:basedOn w:val="33"/>
    <w:autoRedefine/>
    <w:semiHidden/>
    <w:unhideWhenUsed/>
    <w:qFormat/>
    <w:uiPriority w:val="99"/>
  </w:style>
  <w:style w:type="character" w:styleId="36">
    <w:name w:val="Hyperlink"/>
    <w:autoRedefine/>
    <w:qFormat/>
    <w:uiPriority w:val="99"/>
    <w:rPr>
      <w:color w:val="0000FF"/>
      <w:u w:val="single"/>
    </w:rPr>
  </w:style>
  <w:style w:type="character" w:styleId="37">
    <w:name w:val="annotation reference"/>
    <w:autoRedefine/>
    <w:semiHidden/>
    <w:unhideWhenUsed/>
    <w:qFormat/>
    <w:uiPriority w:val="99"/>
    <w:rPr>
      <w:sz w:val="21"/>
      <w:szCs w:val="21"/>
    </w:rPr>
  </w:style>
  <w:style w:type="paragraph" w:customStyle="1" w:styleId="38">
    <w:name w:val="style4"/>
    <w:basedOn w:val="1"/>
    <w:next w:val="39"/>
    <w:autoRedefine/>
    <w:qFormat/>
    <w:uiPriority w:val="0"/>
    <w:pPr>
      <w:widowControl/>
      <w:spacing w:before="280" w:after="280"/>
    </w:pPr>
    <w:rPr>
      <w:sz w:val="18"/>
    </w:rPr>
  </w:style>
  <w:style w:type="paragraph" w:customStyle="1" w:styleId="39">
    <w:name w:val="2"/>
    <w:next w:val="1"/>
    <w:autoRedefine/>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40">
    <w:name w:val="List Paragraph1"/>
    <w:basedOn w:val="1"/>
    <w:next w:val="1"/>
    <w:autoRedefine/>
    <w:qFormat/>
    <w:uiPriority w:val="99"/>
    <w:pPr>
      <w:ind w:firstLine="420" w:firstLineChars="200"/>
    </w:pPr>
  </w:style>
  <w:style w:type="paragraph" w:customStyle="1" w:styleId="41">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2">
    <w:name w:val="列出段落1"/>
    <w:basedOn w:val="1"/>
    <w:autoRedefine/>
    <w:qFormat/>
    <w:uiPriority w:val="34"/>
    <w:pPr>
      <w:ind w:firstLine="420" w:firstLineChars="200"/>
    </w:pPr>
  </w:style>
  <w:style w:type="paragraph" w:customStyle="1" w:styleId="43">
    <w:name w:val="列出段落2"/>
    <w:basedOn w:val="1"/>
    <w:link w:val="75"/>
    <w:autoRedefine/>
    <w:qFormat/>
    <w:uiPriority w:val="0"/>
    <w:pPr>
      <w:ind w:firstLine="420" w:firstLineChars="200"/>
    </w:pPr>
    <w:rPr>
      <w:rFonts w:ascii="Times New Roman" w:hAnsi="Times New Roman" w:cs="Times New Roman"/>
    </w:rPr>
  </w:style>
  <w:style w:type="paragraph" w:customStyle="1" w:styleId="44">
    <w:name w:val="正文文本缩进1"/>
    <w:basedOn w:val="1"/>
    <w:link w:val="62"/>
    <w:autoRedefine/>
    <w:qFormat/>
    <w:uiPriority w:val="0"/>
    <w:pPr>
      <w:spacing w:line="360" w:lineRule="auto"/>
      <w:ind w:firstLine="480" w:firstLineChars="200"/>
    </w:pPr>
    <w:rPr>
      <w:rFonts w:ascii="宋体" w:hAnsi="Times New Roman" w:cs="Times New Roman"/>
      <w:kern w:val="0"/>
      <w:sz w:val="24"/>
      <w:szCs w:val="20"/>
    </w:rPr>
  </w:style>
  <w:style w:type="paragraph" w:customStyle="1" w:styleId="45">
    <w:name w:val="日期1"/>
    <w:basedOn w:val="1"/>
    <w:next w:val="1"/>
    <w:link w:val="58"/>
    <w:autoRedefine/>
    <w:qFormat/>
    <w:uiPriority w:val="0"/>
    <w:rPr>
      <w:sz w:val="24"/>
    </w:rPr>
  </w:style>
  <w:style w:type="paragraph" w:customStyle="1" w:styleId="46">
    <w:name w:val="正文缩进1"/>
    <w:basedOn w:val="1"/>
    <w:autoRedefine/>
    <w:qFormat/>
    <w:uiPriority w:val="0"/>
    <w:pPr>
      <w:adjustRightInd w:val="0"/>
      <w:spacing w:line="360" w:lineRule="atLeast"/>
      <w:ind w:firstLine="420" w:firstLineChars="200"/>
      <w:jc w:val="left"/>
      <w:textAlignment w:val="baseline"/>
    </w:pPr>
    <w:rPr>
      <w:rFonts w:ascii="Times New Roman" w:hAnsi="Times New Roman" w:cs="Times New Roman"/>
      <w:kern w:val="0"/>
      <w:sz w:val="24"/>
      <w:szCs w:val="20"/>
    </w:rPr>
  </w:style>
  <w:style w:type="paragraph" w:customStyle="1" w:styleId="47">
    <w:name w:val="样式1"/>
    <w:basedOn w:val="1"/>
    <w:autoRedefine/>
    <w:qFormat/>
    <w:uiPriority w:val="0"/>
    <w:pPr>
      <w:numPr>
        <w:ilvl w:val="0"/>
        <w:numId w:val="2"/>
      </w:numPr>
      <w:adjustRightInd w:val="0"/>
      <w:textAlignment w:val="baseline"/>
    </w:pPr>
    <w:rPr>
      <w:rFonts w:ascii="宋体" w:hAnsi="宋体" w:cs="Times New Roman"/>
      <w:kern w:val="0"/>
      <w:szCs w:val="21"/>
    </w:rPr>
  </w:style>
  <w:style w:type="paragraph" w:customStyle="1" w:styleId="48">
    <w:name w:val="图"/>
    <w:basedOn w:val="1"/>
    <w:autoRedefine/>
    <w:qFormat/>
    <w:uiPriority w:val="0"/>
    <w:pPr>
      <w:keepNext/>
      <w:adjustRightInd w:val="0"/>
      <w:spacing w:before="60" w:after="60" w:line="300" w:lineRule="auto"/>
      <w:jc w:val="center"/>
      <w:textAlignment w:val="center"/>
    </w:pPr>
    <w:rPr>
      <w:rFonts w:ascii="Times New Roman" w:hAnsi="Times New Roman" w:cs="Times New Roman"/>
      <w:snapToGrid w:val="0"/>
      <w:color w:val="0000FF"/>
      <w:spacing w:val="20"/>
      <w:kern w:val="0"/>
      <w:sz w:val="24"/>
      <w:szCs w:val="20"/>
    </w:rPr>
  </w:style>
  <w:style w:type="paragraph" w:customStyle="1" w:styleId="49">
    <w:name w:val="样式 标题 1 + 四号 居中 段前: 12 磅 段后: 12 磅 行距: 单倍行距"/>
    <w:basedOn w:val="3"/>
    <w:autoRedefine/>
    <w:qFormat/>
    <w:uiPriority w:val="0"/>
    <w:pPr>
      <w:spacing w:before="240" w:after="240" w:line="240" w:lineRule="auto"/>
      <w:ind w:left="-288"/>
      <w:jc w:val="center"/>
    </w:pPr>
    <w:rPr>
      <w:rFonts w:cs="宋体"/>
      <w:sz w:val="28"/>
      <w:szCs w:val="20"/>
    </w:rPr>
  </w:style>
  <w:style w:type="paragraph" w:customStyle="1" w:styleId="50">
    <w:name w:val="样式 样式 样式 样式 标题 2 + 宋体 五号 非加粗 黑色 + 段前: 6 磅 段后: 0 磅 行距: 单倍行距 + 段前:..."/>
    <w:basedOn w:val="1"/>
    <w:autoRedefine/>
    <w:qFormat/>
    <w:uiPriority w:val="0"/>
    <w:pPr>
      <w:keepNext/>
      <w:keepLines/>
      <w:numPr>
        <w:ilvl w:val="0"/>
        <w:numId w:val="3"/>
      </w:numPr>
      <w:adjustRightInd w:val="0"/>
      <w:spacing w:before="240"/>
      <w:jc w:val="left"/>
      <w:textAlignment w:val="baseline"/>
      <w:outlineLvl w:val="1"/>
    </w:pPr>
    <w:rPr>
      <w:rFonts w:ascii="宋体" w:hAnsi="宋体"/>
      <w:b/>
      <w:bCs/>
      <w:color w:val="000000"/>
      <w:kern w:val="0"/>
      <w:szCs w:val="20"/>
    </w:rPr>
  </w:style>
  <w:style w:type="paragraph" w:customStyle="1" w:styleId="51">
    <w:name w:val="_Style 1"/>
    <w:basedOn w:val="1"/>
    <w:link w:val="73"/>
    <w:autoRedefine/>
    <w:qFormat/>
    <w:uiPriority w:val="0"/>
    <w:pPr>
      <w:ind w:firstLine="420" w:firstLineChars="200"/>
    </w:pPr>
    <w:rPr>
      <w:rFonts w:cs="Times New Roman"/>
      <w:szCs w:val="24"/>
    </w:rPr>
  </w:style>
  <w:style w:type="paragraph" w:customStyle="1" w:styleId="52">
    <w:name w:val="纯文本1"/>
    <w:basedOn w:val="1"/>
    <w:autoRedefine/>
    <w:qFormat/>
    <w:uiPriority w:val="99"/>
    <w:rPr>
      <w:rFonts w:cs="黑体"/>
      <w:sz w:val="24"/>
    </w:rPr>
  </w:style>
  <w:style w:type="character" w:customStyle="1" w:styleId="53">
    <w:name w:val="标题 1 字符"/>
    <w:link w:val="3"/>
    <w:autoRedefine/>
    <w:qFormat/>
    <w:uiPriority w:val="0"/>
    <w:rPr>
      <w:rFonts w:cs="Times New Roman"/>
      <w:b/>
      <w:bCs/>
      <w:kern w:val="44"/>
      <w:sz w:val="44"/>
      <w:szCs w:val="44"/>
    </w:rPr>
  </w:style>
  <w:style w:type="character" w:customStyle="1" w:styleId="54">
    <w:name w:val="标题 2 字符"/>
    <w:link w:val="4"/>
    <w:autoRedefine/>
    <w:qFormat/>
    <w:uiPriority w:val="0"/>
    <w:rPr>
      <w:rFonts w:ascii="Arial" w:hAnsi="Arial" w:eastAsia="黑体" w:cs="Times New Roman"/>
      <w:b/>
      <w:bCs/>
      <w:sz w:val="32"/>
      <w:szCs w:val="32"/>
    </w:rPr>
  </w:style>
  <w:style w:type="character" w:customStyle="1" w:styleId="55">
    <w:name w:val="标题 3 字符"/>
    <w:link w:val="5"/>
    <w:autoRedefine/>
    <w:qFormat/>
    <w:uiPriority w:val="0"/>
    <w:rPr>
      <w:rFonts w:ascii="宋体" w:hAnsi="宋体" w:eastAsia="宋体" w:cs="Times New Roman"/>
      <w:b/>
      <w:color w:val="000000"/>
      <w:kern w:val="0"/>
      <w:sz w:val="24"/>
      <w:szCs w:val="20"/>
    </w:rPr>
  </w:style>
  <w:style w:type="character" w:customStyle="1" w:styleId="56">
    <w:name w:val="标题 4 字符"/>
    <w:link w:val="6"/>
    <w:autoRedefine/>
    <w:qFormat/>
    <w:uiPriority w:val="0"/>
    <w:rPr>
      <w:rFonts w:ascii="Arial" w:hAnsi="Arial" w:eastAsia="黑体" w:cs="Times New Roman"/>
      <w:b/>
      <w:bCs/>
      <w:sz w:val="28"/>
      <w:szCs w:val="28"/>
    </w:rPr>
  </w:style>
  <w:style w:type="character" w:customStyle="1" w:styleId="57">
    <w:name w:val="纯文本 字符"/>
    <w:link w:val="17"/>
    <w:autoRedefine/>
    <w:qFormat/>
    <w:uiPriority w:val="0"/>
    <w:rPr>
      <w:rFonts w:eastAsia="宋体"/>
      <w:sz w:val="24"/>
    </w:rPr>
  </w:style>
  <w:style w:type="character" w:customStyle="1" w:styleId="58">
    <w:name w:val="日期 Char Char"/>
    <w:link w:val="45"/>
    <w:autoRedefine/>
    <w:qFormat/>
    <w:uiPriority w:val="0"/>
    <w:rPr>
      <w:sz w:val="24"/>
    </w:rPr>
  </w:style>
  <w:style w:type="character" w:customStyle="1" w:styleId="59">
    <w:name w:val="页脚 字符"/>
    <w:link w:val="21"/>
    <w:autoRedefine/>
    <w:qFormat/>
    <w:uiPriority w:val="99"/>
    <w:rPr>
      <w:sz w:val="18"/>
      <w:szCs w:val="18"/>
    </w:rPr>
  </w:style>
  <w:style w:type="character" w:customStyle="1" w:styleId="60">
    <w:name w:val="页眉 字符"/>
    <w:link w:val="22"/>
    <w:autoRedefine/>
    <w:qFormat/>
    <w:uiPriority w:val="99"/>
    <w:rPr>
      <w:sz w:val="18"/>
      <w:szCs w:val="18"/>
    </w:rPr>
  </w:style>
  <w:style w:type="character" w:customStyle="1" w:styleId="61">
    <w:name w:val="纯文本 Char1"/>
    <w:autoRedefine/>
    <w:qFormat/>
    <w:uiPriority w:val="0"/>
    <w:rPr>
      <w:rFonts w:eastAsia="宋体"/>
      <w:sz w:val="24"/>
    </w:rPr>
  </w:style>
  <w:style w:type="character" w:customStyle="1" w:styleId="62">
    <w:name w:val="正文文本缩进 Char Char"/>
    <w:link w:val="44"/>
    <w:autoRedefine/>
    <w:qFormat/>
    <w:uiPriority w:val="0"/>
    <w:rPr>
      <w:rFonts w:ascii="宋体"/>
      <w:sz w:val="24"/>
    </w:rPr>
  </w:style>
  <w:style w:type="character" w:customStyle="1" w:styleId="63">
    <w:name w:val="正文文本 3 字符"/>
    <w:link w:val="10"/>
    <w:autoRedefine/>
    <w:qFormat/>
    <w:uiPriority w:val="0"/>
    <w:rPr>
      <w:rFonts w:ascii="Times New Roman" w:hAnsi="Times New Roman" w:eastAsia="宋体" w:cs="Times New Roman"/>
      <w:color w:val="FF0000"/>
      <w:sz w:val="24"/>
      <w:szCs w:val="24"/>
    </w:rPr>
  </w:style>
  <w:style w:type="character" w:customStyle="1" w:styleId="64">
    <w:name w:val="edittexttarea"/>
    <w:basedOn w:val="33"/>
    <w:autoRedefine/>
    <w:qFormat/>
    <w:uiPriority w:val="0"/>
  </w:style>
  <w:style w:type="character" w:customStyle="1" w:styleId="65">
    <w:name w:val="正文文本 字符"/>
    <w:basedOn w:val="33"/>
    <w:link w:val="11"/>
    <w:autoRedefine/>
    <w:qFormat/>
    <w:uiPriority w:val="99"/>
  </w:style>
  <w:style w:type="character" w:customStyle="1" w:styleId="66">
    <w:name w:val="正文文本首行缩进 字符"/>
    <w:link w:val="29"/>
    <w:autoRedefine/>
    <w:qFormat/>
    <w:uiPriority w:val="0"/>
    <w:rPr>
      <w:rFonts w:ascii="宋体" w:hAnsi="Times New Roman" w:eastAsia="宋体" w:cs="Times New Roman"/>
      <w:kern w:val="0"/>
      <w:sz w:val="34"/>
      <w:szCs w:val="20"/>
    </w:rPr>
  </w:style>
  <w:style w:type="character" w:customStyle="1" w:styleId="67">
    <w:name w:val="HTML 预设格式 Char Char"/>
    <w:autoRedefine/>
    <w:qFormat/>
    <w:uiPriority w:val="99"/>
    <w:rPr>
      <w:rFonts w:ascii="宋体" w:hAnsi="宋体" w:eastAsia="宋体" w:cs="宋体"/>
      <w:kern w:val="0"/>
      <w:sz w:val="24"/>
      <w:szCs w:val="24"/>
    </w:rPr>
  </w:style>
  <w:style w:type="character" w:customStyle="1" w:styleId="68">
    <w:name w:val="HTML 预设格式 字符"/>
    <w:link w:val="25"/>
    <w:autoRedefine/>
    <w:qFormat/>
    <w:uiPriority w:val="99"/>
    <w:rPr>
      <w:rFonts w:ascii="Courier New" w:hAnsi="Courier New" w:cs="Courier New"/>
      <w:sz w:val="20"/>
      <w:szCs w:val="20"/>
    </w:rPr>
  </w:style>
  <w:style w:type="character" w:customStyle="1" w:styleId="69">
    <w:name w:val="正文文本缩进 Char Char Char"/>
    <w:autoRedefine/>
    <w:qFormat/>
    <w:uiPriority w:val="0"/>
    <w:rPr>
      <w:sz w:val="24"/>
    </w:rPr>
  </w:style>
  <w:style w:type="character" w:customStyle="1" w:styleId="70">
    <w:name w:val="正文文本缩进 字符"/>
    <w:basedOn w:val="33"/>
    <w:link w:val="13"/>
    <w:autoRedefine/>
    <w:qFormat/>
    <w:uiPriority w:val="99"/>
  </w:style>
  <w:style w:type="character" w:customStyle="1" w:styleId="71">
    <w:name w:val="批注框文本 Char Char"/>
    <w:autoRedefine/>
    <w:qFormat/>
    <w:uiPriority w:val="99"/>
    <w:rPr>
      <w:sz w:val="18"/>
      <w:szCs w:val="18"/>
    </w:rPr>
  </w:style>
  <w:style w:type="character" w:customStyle="1" w:styleId="72">
    <w:name w:val="批注框文本 字符"/>
    <w:link w:val="20"/>
    <w:autoRedefine/>
    <w:qFormat/>
    <w:uiPriority w:val="99"/>
    <w:rPr>
      <w:sz w:val="18"/>
      <w:szCs w:val="18"/>
    </w:rPr>
  </w:style>
  <w:style w:type="character" w:customStyle="1" w:styleId="73">
    <w:name w:val="_Style 1 Char Char"/>
    <w:link w:val="51"/>
    <w:autoRedefine/>
    <w:qFormat/>
    <w:uiPriority w:val="0"/>
    <w:rPr>
      <w:rFonts w:ascii="Calibri" w:hAnsi="Calibri" w:eastAsia="宋体" w:cs="Times New Roman"/>
      <w:kern w:val="2"/>
      <w:sz w:val="21"/>
      <w:szCs w:val="24"/>
    </w:rPr>
  </w:style>
  <w:style w:type="character" w:customStyle="1" w:styleId="74">
    <w:name w:val="xl27"/>
    <w:basedOn w:val="33"/>
    <w:autoRedefine/>
    <w:qFormat/>
    <w:uiPriority w:val="0"/>
  </w:style>
  <w:style w:type="character" w:customStyle="1" w:styleId="75">
    <w:name w:val="列出段落 Char"/>
    <w:link w:val="43"/>
    <w:autoRedefine/>
    <w:qFormat/>
    <w:uiPriority w:val="0"/>
    <w:rPr>
      <w:kern w:val="2"/>
      <w:sz w:val="21"/>
      <w:szCs w:val="22"/>
    </w:rPr>
  </w:style>
  <w:style w:type="character" w:customStyle="1" w:styleId="76">
    <w:name w:val="NormalCharacter"/>
    <w:autoRedefine/>
    <w:semiHidden/>
    <w:qFormat/>
    <w:uiPriority w:val="0"/>
  </w:style>
  <w:style w:type="paragraph" w:customStyle="1" w:styleId="77">
    <w:name w:val="！正文"/>
    <w:basedOn w:val="1"/>
    <w:autoRedefine/>
    <w:qFormat/>
    <w:uiPriority w:val="0"/>
    <w:pPr>
      <w:spacing w:line="360" w:lineRule="auto"/>
    </w:pPr>
    <w:rPr>
      <w:kern w:val="0"/>
    </w:rPr>
  </w:style>
  <w:style w:type="paragraph" w:customStyle="1" w:styleId="78">
    <w:name w:val="招标文件1级标题样式"/>
    <w:basedOn w:val="1"/>
    <w:autoRedefine/>
    <w:qFormat/>
    <w:uiPriority w:val="0"/>
    <w:pPr>
      <w:keepNext/>
      <w:keepLines/>
      <w:spacing w:before="50" w:beforeLines="50" w:after="50" w:afterLines="50" w:line="640" w:lineRule="exact"/>
      <w:jc w:val="center"/>
      <w:outlineLvl w:val="0"/>
    </w:pPr>
    <w:rPr>
      <w:rFonts w:ascii="宋体" w:hAnsi="宋体"/>
      <w:b/>
      <w:bCs/>
      <w:color w:val="000000"/>
      <w:sz w:val="28"/>
      <w:szCs w:val="44"/>
      <w:lang w:val="zh-TW" w:eastAsia="zh-TW" w:bidi="zh-TW"/>
    </w:rPr>
  </w:style>
  <w:style w:type="character" w:customStyle="1" w:styleId="79">
    <w:name w:val="批注文字 字符"/>
    <w:link w:val="9"/>
    <w:autoRedefine/>
    <w:semiHidden/>
    <w:qFormat/>
    <w:uiPriority w:val="99"/>
    <w:rPr>
      <w:rFonts w:ascii="Calibri" w:hAnsi="Calibri" w:cs="宋体"/>
      <w:kern w:val="2"/>
      <w:sz w:val="21"/>
      <w:szCs w:val="22"/>
    </w:rPr>
  </w:style>
  <w:style w:type="character" w:customStyle="1" w:styleId="80">
    <w:name w:val="批注主题 字符"/>
    <w:link w:val="28"/>
    <w:autoRedefine/>
    <w:semiHidden/>
    <w:qFormat/>
    <w:uiPriority w:val="99"/>
    <w:rPr>
      <w:rFonts w:ascii="Calibri" w:hAnsi="Calibri" w:cs="宋体"/>
      <w:b/>
      <w:bCs/>
      <w:kern w:val="2"/>
      <w:sz w:val="21"/>
      <w:szCs w:val="22"/>
    </w:rPr>
  </w:style>
  <w:style w:type="character" w:customStyle="1" w:styleId="81">
    <w:name w:val="font01"/>
    <w:basedOn w:val="33"/>
    <w:autoRedefine/>
    <w:qFormat/>
    <w:uiPriority w:val="0"/>
    <w:rPr>
      <w:rFonts w:hint="eastAsia" w:ascii="宋体" w:hAnsi="宋体" w:eastAsia="宋体" w:cs="宋体"/>
      <w:color w:val="000000"/>
      <w:sz w:val="24"/>
      <w:szCs w:val="24"/>
      <w:u w:val="none"/>
    </w:rPr>
  </w:style>
  <w:style w:type="paragraph" w:customStyle="1" w:styleId="82">
    <w:name w:val="Table Text"/>
    <w:basedOn w:val="1"/>
    <w:semiHidden/>
    <w:qFormat/>
    <w:uiPriority w:val="0"/>
    <w:rPr>
      <w:rFonts w:ascii="宋体" w:hAnsi="宋体" w:eastAsia="宋体" w:cs="宋体"/>
      <w:sz w:val="22"/>
      <w:szCs w:val="22"/>
      <w:lang w:val="en-US" w:eastAsia="en-US" w:bidi="ar-SA"/>
    </w:rPr>
  </w:style>
  <w:style w:type="table" w:customStyle="1" w:styleId="83">
    <w:name w:val="Table Normal"/>
    <w:semiHidden/>
    <w:unhideWhenUsed/>
    <w:qFormat/>
    <w:uiPriority w:val="0"/>
    <w:tblPr>
      <w:tblCellMar>
        <w:top w:w="0" w:type="dxa"/>
        <w:left w:w="0" w:type="dxa"/>
        <w:bottom w:w="0" w:type="dxa"/>
        <w:right w:w="0" w:type="dxa"/>
      </w:tblCellMar>
    </w:tblPr>
  </w:style>
  <w:style w:type="paragraph" w:styleId="8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54</Pages>
  <Words>27755</Words>
  <Characters>28736</Characters>
  <Lines>242</Lines>
  <Paragraphs>68</Paragraphs>
  <TotalTime>15</TotalTime>
  <ScaleCrop>false</ScaleCrop>
  <LinksUpToDate>false</LinksUpToDate>
  <CharactersWithSpaces>30302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2020-03-10T09:32:00Z</dcterms:created>
  <dc:creator>许昌市公共资源交易中心:孟莉</dc:creator>
  <cp:lastModifiedBy>LENOVO</cp:lastModifiedBy>
  <cp:lastPrinted>2022-05-24T09:32:00Z</cp:lastPrinted>
  <dcterms:modified xsi:type="dcterms:W3CDTF">2024-09-19T03:46:57Z</dcterms:modified>
  <dc:title>许昌市消防救援支队泡沫灭火药剂采购项目</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6D9F90B1C76F44559F630AD2629680A3</vt:lpwstr>
  </property>
</Properties>
</file>