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 xml:space="preserve"> 许昌市润莲置业有限公司</w:t>
      </w:r>
    </w:p>
    <w:p>
      <w:pPr>
        <w:jc w:val="center"/>
        <w:rPr>
          <w:rFonts w:hint="default" w:ascii="黑体" w:hAnsi="黑体" w:eastAsia="黑体" w:cs="黑体"/>
          <w:sz w:val="44"/>
          <w:szCs w:val="44"/>
          <w:u w:val="none"/>
          <w:lang w:val="en-US" w:eastAsia="zh-CN"/>
        </w:rPr>
      </w:pPr>
      <w:r>
        <w:rPr>
          <w:rFonts w:hint="eastAsia" w:ascii="黑体" w:hAnsi="黑体" w:eastAsia="黑体" w:cs="黑体"/>
          <w:sz w:val="44"/>
          <w:szCs w:val="44"/>
          <w:u w:val="none"/>
          <w:lang w:val="en-US" w:eastAsia="zh-CN"/>
        </w:rPr>
        <w:t>北海商业地块概念性方案设计采购文件</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许昌市润莲置业有限公司“北海商业地块概念性方案设计项目”的潜在投标人应在《许昌市投资集团有限公司》网站公示公告栏获取采购文件，并于2024年7月18日9点00分（北京时间）前提交响应文件。</w:t>
      </w:r>
    </w:p>
    <w:p>
      <w:pPr>
        <w:keepNext w:val="0"/>
        <w:keepLines w:val="0"/>
        <w:pageBreakBefore w:val="0"/>
        <w:widowControl w:val="0"/>
        <w:numPr>
          <w:ilvl w:val="0"/>
          <w:numId w:val="0"/>
        </w:numPr>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黑体" w:hAnsi="黑体" w:eastAsia="黑体" w:cs="黑体"/>
          <w:sz w:val="32"/>
          <w:szCs w:val="32"/>
          <w:lang w:eastAsia="zh-CN"/>
        </w:rPr>
      </w:pPr>
      <w:r>
        <w:rPr>
          <w:rFonts w:hint="eastAsia" w:ascii="黑体" w:hAnsi="黑体" w:eastAsia="黑体" w:cs="黑体"/>
          <w:kern w:val="2"/>
          <w:sz w:val="32"/>
          <w:szCs w:val="32"/>
          <w:lang w:val="en-US" w:eastAsia="zh-CN" w:bidi="ar-SA"/>
        </w:rPr>
        <w:t>一、</w:t>
      </w:r>
      <w:r>
        <w:rPr>
          <w:rFonts w:hint="eastAsia" w:ascii="黑体" w:hAnsi="黑体" w:eastAsia="黑体" w:cs="黑体"/>
          <w:b w:val="0"/>
          <w:bCs/>
          <w:sz w:val="32"/>
          <w:szCs w:val="32"/>
          <w:lang w:eastAsia="zh-CN"/>
        </w:rPr>
        <w:t>项目概况</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（一）项目名称：</w:t>
      </w:r>
      <w:r>
        <w:rPr>
          <w:rFonts w:hint="eastAsia" w:ascii="仿宋" w:hAnsi="仿宋" w:eastAsia="仿宋" w:cs="仿宋"/>
          <w:sz w:val="32"/>
          <w:szCs w:val="32"/>
          <w:lang w:val="en-US" w:eastAsia="zh-CN"/>
        </w:rPr>
        <w:t>北海商业地块概念性方案设计</w:t>
      </w:r>
      <w:r>
        <w:rPr>
          <w:rFonts w:hint="eastAsia" w:ascii="仿宋" w:hAnsi="仿宋" w:eastAsia="仿宋" w:cs="仿宋"/>
          <w:sz w:val="32"/>
          <w:szCs w:val="32"/>
          <w:lang w:eastAsia="zh-CN"/>
        </w:rPr>
        <w:t>项目</w:t>
      </w:r>
      <w:r>
        <w:rPr>
          <w:rFonts w:hint="eastAsia" w:ascii="仿宋" w:hAnsi="仿宋" w:eastAsia="仿宋" w:cs="仿宋"/>
          <w:sz w:val="32"/>
          <w:szCs w:val="32"/>
          <w:u w:val="none"/>
          <w:lang w:val="en-US" w:eastAsia="zh-CN"/>
        </w:rPr>
        <w:t>。</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（二）</w:t>
      </w:r>
      <w:r>
        <w:rPr>
          <w:rFonts w:hint="eastAsia" w:ascii="仿宋" w:hAnsi="仿宋" w:eastAsia="仿宋" w:cs="仿宋"/>
          <w:sz w:val="32"/>
          <w:szCs w:val="32"/>
          <w:lang w:val="en-US" w:eastAsia="zh-CN"/>
        </w:rPr>
        <w:t>项目概况：北海商业地块位于许昌市北海公园周边，共包含8宗商服用地，共计232.42亩，具体控规指标如下：</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1.2020-12#地块占地9.96亩，位于规划周庄街以北、规划莲苑路以西，商服用地，容积率＜1.2，限高＜20米；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2.2020-24#地块占地11.32亩，位于规划道路以北、文峰北路以西，商服用地，容积率＜0.8，限高＜12米；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3.2020-27#地块占地11.42亩，位于规划周庄街北侧、魏文路西侧，商服用地，容积率＜1.2，限高＜20米；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4.2020-29#地块占地111.66亩，位于文峰北路以西、聚贤街以北，商服用地，容积率＜1.0，限高＜15米；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5.2020-31#地块占地33.56亩，位于镜水路以东、新元办事处邓庄居委会土地，商服用地，容积率＜0.8，限高＜12米；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6.2020-32#地块占地20.77亩，镜水路以东、龙泉街以北，商服用地，容积率＜1.0，限高＜12米；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7.2020-33#地块占地4.63亩，位于龙泉街以北、镜水路以东，商服用地，容积率＜1.0，限高＜12米；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8.2020-34#地块占地29.1亩，位于龙泉街以北、文峰北路以西，商服用地，容积率＜1.0，限高＜12米。</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（三）采购人：许昌市润莲置业有限公司。</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（四）控制价：195000元（含税价），超出此报价的为无效投标。</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default" w:ascii="仿宋" w:hAnsi="仿宋" w:eastAsia="仿宋" w:cs="仿宋"/>
          <w:sz w:val="32"/>
          <w:szCs w:val="32"/>
          <w:highlight w:val="none"/>
          <w:u w:val="none"/>
          <w:lang w:val="en-US" w:eastAsia="zh-CN"/>
        </w:rPr>
      </w:pPr>
      <w:r>
        <w:rPr>
          <w:rFonts w:hint="eastAsia" w:ascii="仿宋" w:hAnsi="仿宋" w:eastAsia="仿宋" w:cs="仿宋"/>
          <w:sz w:val="32"/>
          <w:szCs w:val="32"/>
          <w:highlight w:val="none"/>
          <w:u w:val="none"/>
          <w:lang w:val="en-US" w:eastAsia="zh-CN"/>
        </w:rPr>
        <w:t>（五）采购需求：根据8宗商服用地的控规指标，结合片区建筑高度、风貌控制等方面的要求，</w:t>
      </w:r>
      <w:r>
        <w:rPr>
          <w:rFonts w:hint="eastAsia" w:ascii="仿宋_GB2312" w:hAnsi="仿宋_GB2312" w:eastAsia="仿宋_GB2312" w:cs="仿宋_GB2312"/>
          <w:b w:val="0"/>
          <w:i w:val="0"/>
          <w:color w:val="000000"/>
          <w:kern w:val="0"/>
          <w:sz w:val="32"/>
          <w:szCs w:val="32"/>
          <w:u w:val="none"/>
          <w:shd w:val="clear" w:fill="FFFFFF"/>
          <w:lang w:val="en-US" w:eastAsia="zh-CN" w:bidi="ar"/>
        </w:rPr>
        <w:t>与许昌的城市设计相匹配，出具可行性的</w:t>
      </w:r>
      <w:r>
        <w:rPr>
          <w:rFonts w:hint="eastAsia" w:ascii="仿宋" w:hAnsi="仿宋" w:eastAsia="仿宋" w:cs="仿宋"/>
          <w:sz w:val="32"/>
          <w:szCs w:val="32"/>
          <w:highlight w:val="none"/>
          <w:u w:val="none"/>
          <w:lang w:val="en-US" w:eastAsia="zh-CN"/>
        </w:rPr>
        <w:t>概念性方案设计，为后续详细规划修编提供依据，并能与后续方案设计无缝衔接。概念性方案设计内容包括但不限于规划指标、业态布局、总平面图、鸟瞰图、节点效果图、系统规划、交通分析、资金测算等内容。最终成果文件提交份数：电子版文档及纸质版成果文件4套。</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（六）工期：45日历天。</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lang w:val="en-US" w:eastAsia="zh-CN"/>
        </w:rPr>
      </w:pPr>
      <w:r>
        <w:rPr>
          <w:rFonts w:hint="eastAsia" w:ascii="仿宋" w:hAnsi="仿宋" w:eastAsia="仿宋" w:cs="仿宋"/>
          <w:sz w:val="32"/>
          <w:szCs w:val="32"/>
          <w:u w:val="none"/>
          <w:lang w:val="en-US" w:eastAsia="zh-CN"/>
        </w:rPr>
        <w:t>（七）费用支付方式：待中标人完成概念性方案设计并通过采购人内部评审后，一次性支付全部费用。</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960" w:firstLineChars="3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二、申请人资格</w:t>
      </w:r>
      <w:r>
        <w:rPr>
          <w:rFonts w:hint="eastAsia" w:ascii="黑体" w:hAnsi="黑体" w:eastAsia="黑体" w:cs="黑体"/>
          <w:b w:val="0"/>
          <w:bCs/>
          <w:sz w:val="32"/>
          <w:szCs w:val="32"/>
        </w:rPr>
        <w:t>要求</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二）未被列入“信用中国”网站失信被执行人、异常经营名录、税收违法黑名单的投标人；未被列入“中国政府采购网”政府采购严重违法失信行为记录名单的投标人；未被列入“中国社会组织公共服务平台”网站严重违法失信名单的社会组织；未被列入“国家企业信用信息公示系统”经营异常名录或严</w:t>
      </w:r>
      <w:r>
        <w:rPr>
          <w:rFonts w:hint="eastAsia" w:ascii="仿宋" w:hAnsi="仿宋" w:eastAsia="仿宋" w:cs="仿宋"/>
          <w:sz w:val="32"/>
          <w:szCs w:val="32"/>
          <w:lang w:val="en-US" w:eastAsia="zh-CN"/>
        </w:rPr>
        <w:t>重失信黑名单的投标人。</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（三）投标人必须具有独立的法人资格，并持有有效的营业执照，具备城乡规划设计乙级及以上资质。</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（四）拟派项目负责人具备注册城乡规划师资格。</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（五）本项目不接受联合体投标。</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lang w:val="en-US" w:eastAsia="zh-CN"/>
        </w:rPr>
        <w:t>（六）单位负责人为同一人或者存在控</w:t>
      </w:r>
      <w:r>
        <w:rPr>
          <w:rFonts w:hint="eastAsia" w:ascii="仿宋" w:hAnsi="仿宋" w:eastAsia="仿宋" w:cs="仿宋"/>
          <w:sz w:val="32"/>
          <w:szCs w:val="32"/>
          <w:u w:val="none"/>
          <w:lang w:val="en-US" w:eastAsia="zh-CN"/>
        </w:rPr>
        <w:t>股、管理关系的不同单位，不得同时参与本项目投标。</w:t>
      </w:r>
    </w:p>
    <w:p>
      <w:pPr>
        <w:keepNext w:val="0"/>
        <w:keepLines w:val="0"/>
        <w:pageBreakBefore w:val="0"/>
        <w:kinsoku/>
        <w:wordWrap/>
        <w:overflowPunct/>
        <w:topLinePunct w:val="0"/>
        <w:bidi w:val="0"/>
        <w:spacing w:beforeAutospacing="0" w:afterAutospacing="0" w:line="600" w:lineRule="exact"/>
        <w:ind w:firstLine="640" w:firstLineChars="200"/>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（七）本项目实行资格后审。</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960" w:firstLineChars="3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时间：202</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年</w:t>
      </w:r>
      <w:r>
        <w:rPr>
          <w:rFonts w:hint="eastAsia" w:ascii="仿宋" w:hAnsi="仿宋" w:eastAsia="仿宋" w:cs="仿宋"/>
          <w:b w:val="0"/>
          <w:bCs/>
          <w:sz w:val="32"/>
          <w:szCs w:val="32"/>
          <w:lang w:val="en-US" w:eastAsia="zh-CN"/>
        </w:rPr>
        <w:t>7</w:t>
      </w:r>
      <w:r>
        <w:rPr>
          <w:rFonts w:hint="eastAsia" w:ascii="仿宋" w:hAnsi="仿宋" w:eastAsia="仿宋" w:cs="仿宋"/>
          <w:b w:val="0"/>
          <w:bCs/>
          <w:sz w:val="32"/>
          <w:szCs w:val="32"/>
          <w:lang w:eastAsia="zh-CN"/>
        </w:rPr>
        <w:t>月</w:t>
      </w:r>
      <w:r>
        <w:rPr>
          <w:rFonts w:hint="eastAsia" w:ascii="仿宋" w:hAnsi="仿宋" w:eastAsia="仿宋" w:cs="仿宋"/>
          <w:b w:val="0"/>
          <w:bCs/>
          <w:sz w:val="32"/>
          <w:szCs w:val="32"/>
          <w:lang w:val="en-US" w:eastAsia="zh-CN"/>
        </w:rPr>
        <w:t>18</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9</w:t>
      </w:r>
      <w:r>
        <w:rPr>
          <w:rFonts w:hint="eastAsia" w:ascii="仿宋" w:hAnsi="仿宋" w:eastAsia="仿宋" w:cs="仿宋"/>
          <w:b w:val="0"/>
          <w:bCs/>
          <w:sz w:val="32"/>
          <w:szCs w:val="32"/>
          <w:lang w:eastAsia="zh-CN"/>
        </w:rPr>
        <w:t>点</w:t>
      </w:r>
      <w:r>
        <w:rPr>
          <w:rFonts w:hint="eastAsia" w:ascii="仿宋" w:hAnsi="仿宋" w:eastAsia="仿宋" w:cs="仿宋"/>
          <w:b w:val="0"/>
          <w:bCs/>
          <w:sz w:val="32"/>
          <w:szCs w:val="32"/>
          <w:lang w:val="en-US" w:eastAsia="zh-CN"/>
        </w:rPr>
        <w:t>0</w:t>
      </w:r>
      <w:r>
        <w:rPr>
          <w:rFonts w:hint="eastAsia" w:ascii="仿宋" w:hAnsi="仿宋" w:eastAsia="仿宋" w:cs="仿宋"/>
          <w:b w:val="0"/>
          <w:bCs/>
          <w:sz w:val="32"/>
          <w:szCs w:val="32"/>
          <w:lang w:eastAsia="zh-CN"/>
        </w:rPr>
        <w:t>0分（北京时间）。</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w:t>
      </w:r>
      <w:r>
        <w:rPr>
          <w:rFonts w:hint="eastAsia" w:ascii="仿宋" w:hAnsi="仿宋" w:eastAsia="仿宋" w:cs="仿宋"/>
          <w:b w:val="0"/>
          <w:bCs/>
          <w:sz w:val="32"/>
          <w:szCs w:val="32"/>
          <w:lang w:val="en-US" w:eastAsia="zh-CN"/>
        </w:rPr>
        <w:t>智慧信息产业园科创基地四楼开标室</w:t>
      </w:r>
      <w:r>
        <w:rPr>
          <w:rFonts w:hint="eastAsia" w:ascii="仿宋" w:hAnsi="仿宋" w:eastAsia="仿宋" w:cs="仿宋"/>
          <w:b w:val="0"/>
          <w:bCs/>
          <w:sz w:val="32"/>
          <w:szCs w:val="32"/>
          <w:lang w:eastAsia="zh-CN"/>
        </w:rPr>
        <w:t>（本项目采用不见面开标，投标人无须到现场），</w:t>
      </w:r>
      <w:r>
        <w:rPr>
          <w:rFonts w:hint="eastAsia" w:ascii="仿宋" w:hAnsi="仿宋" w:eastAsia="仿宋" w:cs="仿宋"/>
          <w:b w:val="0"/>
          <w:bCs/>
          <w:sz w:val="32"/>
          <w:szCs w:val="32"/>
          <w:lang w:val="en-US" w:eastAsia="zh-CN"/>
        </w:rPr>
        <w:t>许昌市明礼街与魏武大道交叉口东北角。</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采用“</w:t>
      </w:r>
      <w:r>
        <w:rPr>
          <w:rFonts w:hint="eastAsia" w:ascii="仿宋" w:hAnsi="仿宋" w:eastAsia="仿宋" w:cs="仿宋"/>
          <w:b w:val="0"/>
          <w:bCs/>
          <w:sz w:val="32"/>
          <w:szCs w:val="32"/>
          <w:lang w:val="en-US" w:eastAsia="zh-CN"/>
        </w:rPr>
        <w:t>综合评分法”，企业综合实力得分最高的为中标人，若综合实力得分相等，报价得分最低的为中标人，企业综合实力评分详见细则。当投标人不足三家的，该项目流标。</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评标期间，投标人保持响应文件提供的联系方式畅通，评标小组随时可能对响应文件内容质询，投标人应及时进行答复（包括但不限于电子文档、电子邮件等），因投标人响应不及时影响评标的，后果自负。</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（五）投标人递交的投标文件不予退回。</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firstLine="640" w:firstLineChars="200"/>
        <w:jc w:val="left"/>
        <w:textAlignment w:val="auto"/>
        <w:outlineLvl w:val="9"/>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w:t>
      </w:r>
      <w:r>
        <w:rPr>
          <w:rFonts w:hint="eastAsia" w:ascii="黑体" w:hAnsi="黑体" w:eastAsia="黑体" w:cs="黑体"/>
          <w:b w:val="0"/>
          <w:bCs/>
          <w:sz w:val="32"/>
          <w:szCs w:val="32"/>
          <w:lang w:val="en-US" w:eastAsia="zh-CN"/>
        </w:rPr>
        <w:t>响应</w:t>
      </w:r>
      <w:r>
        <w:rPr>
          <w:rFonts w:hint="eastAsia" w:ascii="黑体" w:hAnsi="黑体" w:eastAsia="黑体" w:cs="黑体"/>
          <w:b w:val="0"/>
          <w:bCs/>
          <w:sz w:val="32"/>
          <w:szCs w:val="32"/>
          <w:lang w:eastAsia="zh-CN"/>
        </w:rPr>
        <w:t>文件组成</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详见附件，响应文件要装订并密封，密封处加盖公司公章，一式三份，不按照附件要求提交资料或者缺少的，为无效投标。</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五、其他事宜</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公告发布方式：本次</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公告在许昌市投资集团有限公司网站</w:t>
      </w:r>
      <w:r>
        <w:rPr>
          <w:rFonts w:hint="eastAsia" w:ascii="仿宋" w:hAnsi="仿宋" w:eastAsia="仿宋" w:cs="仿宋"/>
          <w:b w:val="0"/>
          <w:bCs/>
          <w:sz w:val="32"/>
          <w:szCs w:val="32"/>
          <w:lang w:val="en-US" w:eastAsia="zh-CN"/>
        </w:rPr>
        <w:t>发布。</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文件获取：</w:t>
      </w:r>
      <w:r>
        <w:rPr>
          <w:rFonts w:hint="eastAsia" w:ascii="仿宋" w:hAnsi="仿宋" w:eastAsia="仿宋" w:cs="仿宋"/>
          <w:b w:val="0"/>
          <w:bCs/>
          <w:sz w:val="32"/>
          <w:szCs w:val="32"/>
          <w:lang w:val="en-US" w:eastAsia="zh-CN"/>
        </w:rPr>
        <w:t>在</w:t>
      </w:r>
      <w:r>
        <w:rPr>
          <w:rFonts w:hint="eastAsia" w:ascii="仿宋" w:hAnsi="仿宋" w:eastAsia="仿宋" w:cs="仿宋"/>
          <w:b w:val="0"/>
          <w:bCs/>
          <w:sz w:val="32"/>
          <w:szCs w:val="32"/>
          <w:lang w:eastAsia="zh-CN"/>
        </w:rPr>
        <w:t>许昌市投资集团有限公司网站</w:t>
      </w:r>
      <w:r>
        <w:rPr>
          <w:rFonts w:hint="eastAsia" w:ascii="仿宋" w:hAnsi="仿宋" w:eastAsia="仿宋" w:cs="仿宋"/>
          <w:b w:val="0"/>
          <w:bCs/>
          <w:sz w:val="32"/>
          <w:szCs w:val="32"/>
          <w:lang w:val="en-US" w:eastAsia="zh-CN"/>
        </w:rPr>
        <w:t>自行</w:t>
      </w:r>
      <w:r>
        <w:rPr>
          <w:rFonts w:hint="eastAsia" w:ascii="仿宋" w:hAnsi="仿宋" w:eastAsia="仿宋" w:cs="仿宋"/>
          <w:b w:val="0"/>
          <w:bCs/>
          <w:sz w:val="32"/>
          <w:szCs w:val="32"/>
          <w:lang w:eastAsia="zh-CN"/>
        </w:rPr>
        <w:t>下载。</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响应文件</w:t>
      </w:r>
      <w:r>
        <w:rPr>
          <w:rFonts w:hint="eastAsia" w:ascii="仿宋" w:hAnsi="仿宋" w:eastAsia="仿宋" w:cs="仿宋"/>
          <w:b w:val="0"/>
          <w:bCs/>
          <w:sz w:val="32"/>
          <w:szCs w:val="32"/>
          <w:lang w:eastAsia="zh-CN"/>
        </w:rPr>
        <w:t>提交</w:t>
      </w:r>
      <w:r>
        <w:rPr>
          <w:rFonts w:hint="eastAsia" w:ascii="仿宋" w:hAnsi="仿宋" w:eastAsia="仿宋" w:cs="仿宋"/>
          <w:b w:val="0"/>
          <w:bCs/>
          <w:sz w:val="32"/>
          <w:szCs w:val="32"/>
          <w:lang w:val="en-US" w:eastAsia="zh-CN"/>
        </w:rPr>
        <w:t>方式及</w:t>
      </w:r>
      <w:r>
        <w:rPr>
          <w:rFonts w:hint="eastAsia" w:ascii="仿宋" w:hAnsi="仿宋" w:eastAsia="仿宋" w:cs="仿宋"/>
          <w:b w:val="0"/>
          <w:bCs/>
          <w:sz w:val="32"/>
          <w:szCs w:val="32"/>
          <w:lang w:eastAsia="zh-CN"/>
        </w:rPr>
        <w:t>截止日期：</w:t>
      </w:r>
      <w:r>
        <w:rPr>
          <w:rFonts w:hint="eastAsia" w:ascii="仿宋" w:hAnsi="仿宋" w:eastAsia="仿宋" w:cs="仿宋"/>
          <w:b w:val="0"/>
          <w:bCs/>
          <w:sz w:val="32"/>
          <w:szCs w:val="32"/>
          <w:lang w:val="en-US" w:eastAsia="zh-CN"/>
        </w:rPr>
        <w:t>现场递交或邮寄均可，截止时间：</w:t>
      </w:r>
      <w:r>
        <w:rPr>
          <w:rFonts w:hint="eastAsia" w:ascii="仿宋" w:hAnsi="仿宋" w:eastAsia="仿宋" w:cs="仿宋"/>
          <w:b w:val="0"/>
          <w:bCs/>
          <w:sz w:val="32"/>
          <w:szCs w:val="32"/>
          <w:lang w:eastAsia="zh-CN"/>
        </w:rPr>
        <w:t>202</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年</w:t>
      </w:r>
      <w:r>
        <w:rPr>
          <w:rFonts w:hint="eastAsia" w:ascii="仿宋" w:hAnsi="仿宋" w:eastAsia="仿宋" w:cs="仿宋"/>
          <w:b w:val="0"/>
          <w:bCs/>
          <w:sz w:val="32"/>
          <w:szCs w:val="32"/>
          <w:lang w:val="en-US" w:eastAsia="zh-CN"/>
        </w:rPr>
        <w:t>7</w:t>
      </w:r>
      <w:r>
        <w:rPr>
          <w:rFonts w:hint="eastAsia" w:ascii="仿宋" w:hAnsi="仿宋" w:eastAsia="仿宋" w:cs="仿宋"/>
          <w:b w:val="0"/>
          <w:bCs/>
          <w:sz w:val="32"/>
          <w:szCs w:val="32"/>
          <w:lang w:eastAsia="zh-CN"/>
        </w:rPr>
        <w:t>月</w:t>
      </w:r>
      <w:r>
        <w:rPr>
          <w:rFonts w:hint="eastAsia" w:ascii="仿宋" w:hAnsi="仿宋" w:eastAsia="仿宋" w:cs="仿宋"/>
          <w:b w:val="0"/>
          <w:bCs/>
          <w:sz w:val="32"/>
          <w:szCs w:val="32"/>
          <w:lang w:val="en-US" w:eastAsia="zh-CN"/>
        </w:rPr>
        <w:t>18</w:t>
      </w:r>
      <w:r>
        <w:rPr>
          <w:rFonts w:hint="eastAsia" w:ascii="仿宋" w:hAnsi="仿宋" w:eastAsia="仿宋" w:cs="仿宋"/>
          <w:b w:val="0"/>
          <w:bCs/>
          <w:sz w:val="32"/>
          <w:szCs w:val="32"/>
          <w:lang w:eastAsia="zh-CN"/>
        </w:rPr>
        <w:t>日</w:t>
      </w:r>
      <w:r>
        <w:rPr>
          <w:rFonts w:hint="eastAsia" w:ascii="仿宋" w:hAnsi="仿宋" w:eastAsia="仿宋" w:cs="仿宋"/>
          <w:b w:val="0"/>
          <w:bCs/>
          <w:sz w:val="32"/>
          <w:szCs w:val="32"/>
          <w:lang w:val="en-US" w:eastAsia="zh-CN"/>
        </w:rPr>
        <w:t>9：00</w:t>
      </w:r>
      <w:r>
        <w:rPr>
          <w:rFonts w:hint="eastAsia" w:ascii="仿宋" w:hAnsi="仿宋" w:eastAsia="仿宋" w:cs="仿宋"/>
          <w:b w:val="0"/>
          <w:bCs/>
          <w:sz w:val="32"/>
          <w:szCs w:val="32"/>
          <w:lang w:eastAsia="zh-CN"/>
        </w:rPr>
        <w:t>，邮寄方式</w:t>
      </w:r>
      <w:r>
        <w:rPr>
          <w:rFonts w:hint="eastAsia" w:ascii="仿宋" w:hAnsi="仿宋" w:eastAsia="仿宋" w:cs="仿宋"/>
          <w:b w:val="0"/>
          <w:bCs/>
          <w:sz w:val="32"/>
          <w:szCs w:val="32"/>
          <w:lang w:val="en-US" w:eastAsia="zh-CN"/>
        </w:rPr>
        <w:t>按</w:t>
      </w:r>
      <w:r>
        <w:rPr>
          <w:rFonts w:hint="eastAsia" w:ascii="仿宋" w:hAnsi="仿宋" w:eastAsia="仿宋" w:cs="仿宋"/>
          <w:b w:val="0"/>
          <w:bCs/>
          <w:sz w:val="32"/>
          <w:szCs w:val="32"/>
          <w:lang w:eastAsia="zh-CN"/>
        </w:rPr>
        <w:t>收到时间为准。</w:t>
      </w:r>
      <w:r>
        <w:rPr>
          <w:rFonts w:hint="eastAsia" w:ascii="仿宋" w:hAnsi="仿宋" w:eastAsia="仿宋" w:cs="仿宋"/>
          <w:b w:val="0"/>
          <w:bCs/>
          <w:sz w:val="32"/>
          <w:szCs w:val="32"/>
          <w:lang w:val="en-US" w:eastAsia="zh-CN"/>
        </w:rPr>
        <w:t>超出此时间提交的响应文件视为废标。</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四</w:t>
      </w:r>
      <w:r>
        <w:rPr>
          <w:rFonts w:hint="eastAsia" w:ascii="仿宋" w:hAnsi="仿宋" w:eastAsia="仿宋" w:cs="仿宋"/>
          <w:b w:val="0"/>
          <w:bCs/>
          <w:sz w:val="32"/>
          <w:szCs w:val="32"/>
          <w:lang w:eastAsia="zh-CN"/>
        </w:rPr>
        <w:t>）资料提交</w:t>
      </w:r>
      <w:r>
        <w:rPr>
          <w:rFonts w:hint="eastAsia" w:ascii="仿宋" w:hAnsi="仿宋" w:eastAsia="仿宋" w:cs="仿宋"/>
          <w:b w:val="0"/>
          <w:bCs/>
          <w:sz w:val="32"/>
          <w:szCs w:val="32"/>
          <w:lang w:val="en-US" w:eastAsia="zh-CN"/>
        </w:rPr>
        <w:t>或邮寄</w:t>
      </w:r>
      <w:r>
        <w:rPr>
          <w:rFonts w:hint="eastAsia" w:ascii="仿宋" w:hAnsi="仿宋" w:eastAsia="仿宋" w:cs="仿宋"/>
          <w:b w:val="0"/>
          <w:bCs/>
          <w:sz w:val="32"/>
          <w:szCs w:val="32"/>
          <w:lang w:eastAsia="zh-CN"/>
        </w:rPr>
        <w:t>地点：许昌市</w:t>
      </w:r>
      <w:r>
        <w:rPr>
          <w:rFonts w:hint="eastAsia" w:ascii="仿宋" w:hAnsi="仿宋" w:eastAsia="仿宋" w:cs="仿宋"/>
          <w:b w:val="0"/>
          <w:bCs/>
          <w:sz w:val="32"/>
          <w:szCs w:val="32"/>
          <w:lang w:val="en-US" w:eastAsia="zh-CN"/>
        </w:rPr>
        <w:t>老年大学11楼1108</w:t>
      </w:r>
      <w:r>
        <w:rPr>
          <w:rFonts w:hint="eastAsia" w:ascii="仿宋" w:hAnsi="仿宋" w:eastAsia="仿宋" w:cs="仿宋"/>
          <w:b w:val="0"/>
          <w:bCs/>
          <w:sz w:val="32"/>
          <w:szCs w:val="32"/>
          <w:lang w:eastAsia="zh-CN"/>
        </w:rPr>
        <w:t>室，</w:t>
      </w:r>
      <w:r>
        <w:rPr>
          <w:rFonts w:hint="eastAsia" w:ascii="仿宋" w:hAnsi="仿宋" w:eastAsia="仿宋" w:cs="仿宋"/>
          <w:b w:val="0"/>
          <w:bCs/>
          <w:sz w:val="32"/>
          <w:szCs w:val="32"/>
          <w:lang w:val="en-US" w:eastAsia="zh-CN"/>
        </w:rPr>
        <w:t>许昌市均都路与建安大道交叉口东北角</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采购人不组织踏勘现场，投标人可自行组织。</w:t>
      </w:r>
    </w:p>
    <w:p>
      <w:pPr>
        <w:keepNext w:val="0"/>
        <w:keepLines w:val="0"/>
        <w:pageBreakBefore w:val="0"/>
        <w:widowControl w:val="0"/>
        <w:kinsoku/>
        <w:wordWrap/>
        <w:overflowPunct/>
        <w:topLinePunct w:val="0"/>
        <w:autoSpaceDE/>
        <w:autoSpaceDN/>
        <w:bidi w:val="0"/>
        <w:snapToGrid w:val="0"/>
        <w:spacing w:beforeAutospacing="0" w:afterAutospacing="0" w:line="600" w:lineRule="exact"/>
        <w:ind w:left="-178" w:leftChars="-85" w:firstLine="640" w:firstLineChars="200"/>
        <w:jc w:val="left"/>
        <w:textAlignment w:val="auto"/>
        <w:outlineLvl w:val="9"/>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（六）联系方式：李先生  0374-2960311</w:t>
      </w:r>
    </w:p>
    <w:p>
      <w:pPr>
        <w:pStyle w:val="2"/>
        <w:keepNext w:val="0"/>
        <w:keepLines w:val="0"/>
        <w:pageBreakBefore w:val="0"/>
        <w:kinsoku/>
        <w:wordWrap/>
        <w:overflowPunct/>
        <w:topLinePunct w:val="0"/>
        <w:bidi w:val="0"/>
        <w:spacing w:beforeAutospacing="0" w:after="0" w:afterLines="0" w:afterAutospacing="0" w:line="600" w:lineRule="exact"/>
        <w:textAlignment w:val="auto"/>
        <w:rPr>
          <w:rFonts w:hint="eastAsia" w:ascii="仿宋" w:hAnsi="仿宋" w:eastAsia="仿宋" w:cs="仿宋"/>
          <w:sz w:val="32"/>
          <w:szCs w:val="32"/>
          <w:lang w:val="en-US" w:eastAsia="zh-CN"/>
        </w:rPr>
      </w:pPr>
    </w:p>
    <w:p>
      <w:pPr>
        <w:pStyle w:val="2"/>
        <w:keepNext w:val="0"/>
        <w:keepLines w:val="0"/>
        <w:pageBreakBefore w:val="0"/>
        <w:kinsoku/>
        <w:wordWrap/>
        <w:overflowPunct/>
        <w:topLinePunct w:val="0"/>
        <w:bidi w:val="0"/>
        <w:spacing w:beforeAutospacing="0" w:after="0" w:afterLines="0" w:afterAutospacing="0" w:line="600" w:lineRule="exact"/>
        <w:textAlignment w:val="auto"/>
        <w:rPr>
          <w:rFonts w:hint="eastAsia" w:ascii="仿宋" w:hAnsi="仿宋" w:eastAsia="仿宋" w:cs="仿宋"/>
          <w:sz w:val="32"/>
          <w:szCs w:val="32"/>
          <w:lang w:val="en-US" w:eastAsia="zh-CN"/>
        </w:rPr>
      </w:pPr>
    </w:p>
    <w:p>
      <w:pPr>
        <w:pStyle w:val="2"/>
        <w:keepNext w:val="0"/>
        <w:keepLines w:val="0"/>
        <w:pageBreakBefore w:val="0"/>
        <w:kinsoku/>
        <w:wordWrap/>
        <w:overflowPunct/>
        <w:topLinePunct w:val="0"/>
        <w:bidi w:val="0"/>
        <w:spacing w:beforeAutospacing="0" w:after="0" w:afterLines="0" w:afterAutospacing="0" w:line="600" w:lineRule="exact"/>
        <w:ind w:firstLine="3200" w:firstLineChars="1000"/>
        <w:textAlignment w:val="auto"/>
        <w:rPr>
          <w:rFonts w:hint="eastAsia" w:ascii="仿宋" w:hAnsi="仿宋" w:eastAsia="仿宋" w:cs="仿宋"/>
          <w:sz w:val="32"/>
          <w:szCs w:val="32"/>
          <w:lang w:val="en-US" w:eastAsia="zh-CN"/>
        </w:rPr>
      </w:pPr>
    </w:p>
    <w:p>
      <w:pPr>
        <w:pStyle w:val="11"/>
        <w:keepNext w:val="0"/>
        <w:keepLines w:val="0"/>
        <w:pageBreakBefore w:val="0"/>
        <w:kinsoku/>
        <w:wordWrap/>
        <w:overflowPunct/>
        <w:topLinePunct w:val="0"/>
        <w:bidi w:val="0"/>
        <w:spacing w:beforeAutospacing="0" w:after="0" w:afterAutospacing="0" w:line="600" w:lineRule="exact"/>
        <w:ind w:left="4571" w:leftChars="1872" w:hanging="640" w:hanging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许昌市润莲置业有限公司</w:t>
      </w:r>
    </w:p>
    <w:p>
      <w:pPr>
        <w:pStyle w:val="11"/>
        <w:keepNext w:val="0"/>
        <w:keepLines w:val="0"/>
        <w:pageBreakBefore w:val="0"/>
        <w:kinsoku/>
        <w:wordWrap/>
        <w:overflowPunct/>
        <w:topLinePunct w:val="0"/>
        <w:bidi w:val="0"/>
        <w:spacing w:beforeAutospacing="0" w:after="0" w:afterAutospacing="0" w:line="600" w:lineRule="exact"/>
        <w:ind w:left="4570" w:leftChars="2176" w:firstLine="0" w:firstLineChars="0"/>
        <w:textAlignment w:val="auto"/>
        <w:rPr>
          <w:rFonts w:hint="default"/>
          <w:lang w:val="en-US" w:eastAsia="zh-CN"/>
        </w:rPr>
      </w:pPr>
      <w:r>
        <w:rPr>
          <w:rFonts w:hint="eastAsia" w:ascii="仿宋" w:hAnsi="仿宋" w:eastAsia="仿宋" w:cs="仿宋"/>
          <w:sz w:val="32"/>
          <w:szCs w:val="32"/>
          <w:lang w:val="en-US" w:eastAsia="zh-CN"/>
        </w:rPr>
        <w:t>2024年7月9</w:t>
      </w:r>
      <w:bookmarkStart w:id="0" w:name="_GoBack"/>
      <w:bookmarkEnd w:id="0"/>
      <w:r>
        <w:rPr>
          <w:rFonts w:hint="eastAsia" w:ascii="仿宋" w:hAnsi="仿宋" w:eastAsia="仿宋" w:cs="仿宋"/>
          <w:sz w:val="32"/>
          <w:szCs w:val="32"/>
          <w:lang w:val="en-US" w:eastAsia="zh-CN"/>
        </w:rPr>
        <w:t>日</w:t>
      </w:r>
    </w:p>
    <w:p>
      <w:pPr>
        <w:autoSpaceDE w:val="0"/>
        <w:autoSpaceDN w:val="0"/>
        <w:adjustRightInd w:val="0"/>
        <w:spacing w:line="700" w:lineRule="exact"/>
        <w:jc w:val="left"/>
        <w:rPr>
          <w:rFonts w:hint="eastAsia"/>
          <w:sz w:val="28"/>
          <w:szCs w:val="28"/>
          <w:lang w:val="en-US" w:eastAsia="zh-CN"/>
        </w:rPr>
      </w:pPr>
    </w:p>
    <w:p>
      <w:pPr>
        <w:autoSpaceDE w:val="0"/>
        <w:autoSpaceDN w:val="0"/>
        <w:adjustRightInd w:val="0"/>
        <w:spacing w:line="700" w:lineRule="exact"/>
        <w:jc w:val="left"/>
        <w:rPr>
          <w:rFonts w:hint="eastAsia"/>
          <w:sz w:val="28"/>
          <w:szCs w:val="28"/>
          <w:lang w:val="en-US" w:eastAsia="zh-CN"/>
        </w:rPr>
      </w:pPr>
    </w:p>
    <w:p>
      <w:pPr>
        <w:autoSpaceDE w:val="0"/>
        <w:autoSpaceDN w:val="0"/>
        <w:adjustRightInd w:val="0"/>
        <w:spacing w:line="700" w:lineRule="exact"/>
        <w:jc w:val="left"/>
        <w:rPr>
          <w:rFonts w:hint="eastAsia"/>
          <w:sz w:val="28"/>
          <w:szCs w:val="28"/>
          <w:lang w:val="en-US" w:eastAsia="zh-CN"/>
        </w:rPr>
      </w:pPr>
      <w:r>
        <w:rPr>
          <w:rFonts w:hint="eastAsia"/>
          <w:sz w:val="28"/>
          <w:szCs w:val="28"/>
          <w:lang w:val="en-US" w:eastAsia="zh-CN"/>
        </w:rPr>
        <w:t>附件1：评分细则</w:t>
      </w:r>
    </w:p>
    <w:tbl>
      <w:tblPr>
        <w:tblStyle w:val="12"/>
        <w:tblW w:w="9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1353"/>
        <w:gridCol w:w="7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228" w:type="dxa"/>
            <w:vMerge w:val="restart"/>
            <w:vAlign w:val="center"/>
          </w:tcPr>
          <w:p>
            <w:pPr>
              <w:pStyle w:val="2"/>
              <w:keepNext w:val="0"/>
              <w:keepLines w:val="0"/>
              <w:pageBreakBefore w:val="0"/>
              <w:widowControl/>
              <w:kinsoku/>
              <w:wordWrap/>
              <w:overflowPunct/>
              <w:topLinePunct w:val="0"/>
              <w:autoSpaceDE/>
              <w:autoSpaceDN/>
              <w:bidi w:val="0"/>
              <w:adjustRightInd/>
              <w:snapToGrid/>
              <w:spacing w:line="440" w:lineRule="exact"/>
              <w:ind w:left="0" w:leftChars="0" w:firstLine="0" w:firstLineChars="0"/>
              <w:textAlignment w:val="auto"/>
              <w:rPr>
                <w:rFonts w:hint="default" w:eastAsia="宋体"/>
                <w:lang w:val="en-US" w:eastAsia="zh-CN"/>
              </w:rPr>
            </w:pPr>
            <w:r>
              <w:rPr>
                <w:rFonts w:hint="eastAsia"/>
                <w:lang w:val="en-US" w:eastAsia="zh-CN"/>
              </w:rPr>
              <w:t>企业综合实力100分</w:t>
            </w:r>
          </w:p>
        </w:tc>
        <w:tc>
          <w:tcPr>
            <w:tcW w:w="1353" w:type="dxa"/>
            <w:vAlign w:val="center"/>
          </w:tcPr>
          <w:p>
            <w:pPr>
              <w:keepNext w:val="0"/>
              <w:keepLines w:val="0"/>
              <w:pageBreakBefore w:val="0"/>
              <w:widowControl/>
              <w:kinsoku/>
              <w:wordWrap/>
              <w:overflowPunct/>
              <w:topLinePunct w:val="0"/>
              <w:autoSpaceDE/>
              <w:autoSpaceDN/>
              <w:bidi w:val="0"/>
              <w:adjustRightInd/>
              <w:snapToGrid/>
              <w:spacing w:line="440" w:lineRule="exact"/>
              <w:ind w:firstLine="210" w:firstLineChars="100"/>
              <w:jc w:val="left"/>
              <w:textAlignment w:val="auto"/>
              <w:rPr>
                <w:rFonts w:hint="eastAsia" w:ascii="宋体" w:hAnsi="宋体" w:eastAsia="宋体" w:cs="Times New Roman"/>
                <w:kern w:val="0"/>
                <w:sz w:val="21"/>
                <w:szCs w:val="21"/>
                <w:lang w:val="en-US" w:eastAsia="zh-CN" w:bidi="ar-SA"/>
              </w:rPr>
            </w:pPr>
            <w:r>
              <w:rPr>
                <w:rFonts w:hint="eastAsia" w:ascii="宋体" w:hAnsi="宋体" w:eastAsia="宋体" w:cs="Times New Roman"/>
                <w:kern w:val="0"/>
                <w:sz w:val="21"/>
                <w:szCs w:val="21"/>
                <w:lang w:val="en-US" w:eastAsia="zh-CN" w:bidi="ar-SA"/>
              </w:rPr>
              <w:t>报价</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Times New Roman"/>
                <w:kern w:val="0"/>
                <w:sz w:val="21"/>
                <w:szCs w:val="21"/>
                <w:lang w:val="en-US" w:eastAsia="zh-CN" w:bidi="ar-SA"/>
              </w:rPr>
            </w:pPr>
            <w:r>
              <w:rPr>
                <w:rFonts w:hint="eastAsia" w:ascii="宋体" w:hAnsi="宋体" w:eastAsia="宋体" w:cs="Times New Roman"/>
                <w:kern w:val="0"/>
                <w:sz w:val="21"/>
                <w:szCs w:val="21"/>
                <w:lang w:val="en-US" w:eastAsia="zh-CN" w:bidi="ar-SA"/>
              </w:rPr>
              <w:t>（20分）</w:t>
            </w:r>
          </w:p>
        </w:tc>
        <w:tc>
          <w:tcPr>
            <w:tcW w:w="7197"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1、评标基准值＝招标控制价*0.5+所有有效报价的算术平均值*0.5。</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2、有效投标人的投标报价与评标基准值相比：</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color w:val="auto"/>
                <w:kern w:val="0"/>
                <w:sz w:val="21"/>
                <w:szCs w:val="21"/>
                <w:highlight w:val="none"/>
                <w:lang w:val="en-US" w:eastAsia="zh-CN"/>
              </w:rPr>
            </w:pPr>
            <w:r>
              <w:rPr>
                <w:rFonts w:hint="eastAsia" w:ascii="宋体" w:hAnsi="宋体" w:cs="Times New Roman"/>
                <w:color w:val="auto"/>
                <w:kern w:val="0"/>
                <w:sz w:val="21"/>
                <w:szCs w:val="21"/>
                <w:lang w:val="en-US" w:eastAsia="zh-CN"/>
              </w:rPr>
              <w:t>①</w:t>
            </w:r>
            <w:r>
              <w:rPr>
                <w:rFonts w:hint="eastAsia" w:ascii="宋体" w:hAnsi="宋体" w:eastAsia="宋体" w:cs="Times New Roman"/>
                <w:color w:val="auto"/>
                <w:kern w:val="0"/>
                <w:sz w:val="21"/>
                <w:szCs w:val="21"/>
                <w:highlight w:val="none"/>
                <w:lang w:val="en-US" w:eastAsia="zh-CN"/>
              </w:rPr>
              <w:t>投标人的投标报价等于评标基准值时，得基本分15分；</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cs="Times New Roman"/>
                <w:kern w:val="0"/>
                <w:sz w:val="21"/>
                <w:szCs w:val="21"/>
                <w:lang w:val="en-US" w:eastAsia="zh-CN"/>
              </w:rPr>
              <w:t>②</w:t>
            </w:r>
            <w:r>
              <w:rPr>
                <w:rFonts w:hint="eastAsia" w:ascii="宋体" w:hAnsi="宋体" w:eastAsia="宋体" w:cs="Times New Roman"/>
                <w:kern w:val="0"/>
                <w:sz w:val="21"/>
                <w:szCs w:val="21"/>
                <w:lang w:val="en-US" w:eastAsia="zh-CN"/>
              </w:rPr>
              <w:t>投标报价每高于评标基准值1%，在基本分基础上扣</w:t>
            </w:r>
            <w:r>
              <w:rPr>
                <w:rFonts w:hint="eastAsia" w:ascii="宋体" w:hAnsi="宋体" w:cs="Times New Roman"/>
                <w:kern w:val="0"/>
                <w:sz w:val="21"/>
                <w:szCs w:val="21"/>
                <w:lang w:val="en-US" w:eastAsia="zh-CN"/>
              </w:rPr>
              <w:t>1</w:t>
            </w:r>
            <w:r>
              <w:rPr>
                <w:rFonts w:hint="eastAsia" w:ascii="宋体" w:hAnsi="宋体" w:eastAsia="宋体" w:cs="Times New Roman"/>
                <w:kern w:val="0"/>
                <w:sz w:val="21"/>
                <w:szCs w:val="21"/>
                <w:lang w:val="en-US" w:eastAsia="zh-CN"/>
              </w:rPr>
              <w:t>分，最多扣5分；</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cs="Times New Roman"/>
                <w:kern w:val="0"/>
                <w:sz w:val="21"/>
                <w:szCs w:val="21"/>
                <w:lang w:val="en-US" w:eastAsia="zh-CN"/>
              </w:rPr>
              <w:t>③</w:t>
            </w:r>
            <w:r>
              <w:rPr>
                <w:rFonts w:hint="eastAsia" w:ascii="宋体" w:hAnsi="宋体" w:eastAsia="宋体" w:cs="Times New Roman"/>
                <w:kern w:val="0"/>
                <w:sz w:val="21"/>
                <w:szCs w:val="21"/>
                <w:lang w:val="en-US" w:eastAsia="zh-CN"/>
              </w:rPr>
              <w:t>投标报价每低于评标基准值1%，在基本分基础上加</w:t>
            </w:r>
            <w:r>
              <w:rPr>
                <w:rFonts w:hint="eastAsia" w:ascii="宋体" w:hAnsi="宋体" w:cs="Times New Roman"/>
                <w:kern w:val="0"/>
                <w:sz w:val="21"/>
                <w:szCs w:val="21"/>
                <w:lang w:val="en-US" w:eastAsia="zh-CN"/>
              </w:rPr>
              <w:t>1</w:t>
            </w:r>
            <w:r>
              <w:rPr>
                <w:rFonts w:hint="eastAsia" w:ascii="宋体" w:hAnsi="宋体" w:eastAsia="宋体" w:cs="Times New Roman"/>
                <w:kern w:val="0"/>
                <w:sz w:val="21"/>
                <w:szCs w:val="21"/>
                <w:lang w:val="en-US" w:eastAsia="zh-CN"/>
              </w:rPr>
              <w:t>分，最多加5分；</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cs="Times New Roman"/>
                <w:kern w:val="0"/>
                <w:sz w:val="21"/>
                <w:szCs w:val="21"/>
                <w:lang w:val="en-US" w:eastAsia="zh-CN"/>
              </w:rPr>
              <w:t>④</w:t>
            </w:r>
            <w:r>
              <w:rPr>
                <w:rFonts w:hint="eastAsia" w:ascii="宋体" w:hAnsi="宋体" w:eastAsia="宋体" w:cs="Times New Roman"/>
                <w:kern w:val="0"/>
                <w:sz w:val="21"/>
                <w:szCs w:val="21"/>
                <w:lang w:val="en-US" w:eastAsia="zh-CN"/>
              </w:rPr>
              <w:t>当投标报价低于评标基准值</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%以上（不含10%）时，每再低1%在满分20分的基础上扣</w:t>
            </w:r>
            <w:r>
              <w:rPr>
                <w:rFonts w:hint="eastAsia" w:ascii="宋体" w:hAnsi="宋体" w:cs="Times New Roman"/>
                <w:kern w:val="0"/>
                <w:sz w:val="21"/>
                <w:szCs w:val="21"/>
                <w:lang w:val="en-US" w:eastAsia="zh-CN"/>
              </w:rPr>
              <w:t>1</w:t>
            </w:r>
            <w:r>
              <w:rPr>
                <w:rFonts w:hint="eastAsia" w:ascii="宋体" w:hAnsi="宋体" w:eastAsia="宋体" w:cs="Times New Roman"/>
                <w:kern w:val="0"/>
                <w:sz w:val="21"/>
                <w:szCs w:val="21"/>
                <w:lang w:val="en-US" w:eastAsia="zh-CN"/>
              </w:rPr>
              <w:t>分，扣完为止</w:t>
            </w:r>
            <w:r>
              <w:rPr>
                <w:rFonts w:hint="eastAsia" w:ascii="宋体" w:hAnsi="宋体" w:cs="Times New Roman"/>
                <w:kern w:val="0"/>
                <w:sz w:val="21"/>
                <w:szCs w:val="21"/>
                <w:lang w:val="en-US" w:eastAsia="zh-CN"/>
              </w:rPr>
              <w:t>。</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cs="Times New Roman" w:eastAsiaTheme="minorEastAsia"/>
                <w:kern w:val="0"/>
                <w:sz w:val="21"/>
                <w:szCs w:val="21"/>
                <w:lang w:val="en-US" w:eastAsia="zh-CN" w:bidi="ar-SA"/>
              </w:rPr>
            </w:pPr>
            <w:r>
              <w:rPr>
                <w:rFonts w:hint="eastAsia" w:ascii="宋体" w:hAnsi="宋体" w:eastAsia="宋体" w:cs="Times New Roman"/>
                <w:kern w:val="0"/>
                <w:sz w:val="21"/>
                <w:szCs w:val="21"/>
                <w:lang w:val="en-US" w:eastAsia="zh-CN"/>
              </w:rPr>
              <w:t>（不足1%按内插法计算得分，计算结果保留小数点后两位）。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2" w:hRule="atLeast"/>
          <w:jc w:val="center"/>
        </w:trPr>
        <w:tc>
          <w:tcPr>
            <w:tcW w:w="1228" w:type="dxa"/>
            <w:vMerge w:val="continue"/>
            <w:vAlign w:val="center"/>
          </w:tcPr>
          <w:p>
            <w:pPr>
              <w:pStyle w:val="2"/>
              <w:keepNext w:val="0"/>
              <w:keepLines w:val="0"/>
              <w:pageBreakBefore w:val="0"/>
              <w:widowControl/>
              <w:kinsoku/>
              <w:wordWrap/>
              <w:overflowPunct/>
              <w:topLinePunct w:val="0"/>
              <w:autoSpaceDE/>
              <w:autoSpaceDN/>
              <w:bidi w:val="0"/>
              <w:adjustRightInd/>
              <w:snapToGrid/>
              <w:spacing w:line="440" w:lineRule="exact"/>
              <w:ind w:left="0" w:leftChars="0" w:firstLine="0" w:firstLineChars="0"/>
              <w:textAlignment w:val="auto"/>
              <w:rPr>
                <w:rFonts w:hint="eastAsia"/>
                <w:lang w:val="en-US" w:eastAsia="zh-CN"/>
              </w:rPr>
            </w:pPr>
          </w:p>
        </w:tc>
        <w:tc>
          <w:tcPr>
            <w:tcW w:w="1353"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bidi="ar-SA"/>
              </w:rPr>
            </w:pPr>
            <w:r>
              <w:rPr>
                <w:rFonts w:hint="eastAsia" w:ascii="宋体" w:hAnsi="宋体"/>
                <w:kern w:val="0"/>
                <w:sz w:val="21"/>
                <w:szCs w:val="21"/>
              </w:rPr>
              <w:t>项目</w:t>
            </w:r>
            <w:r>
              <w:rPr>
                <w:rFonts w:hint="eastAsia" w:ascii="宋体" w:hAnsi="宋体"/>
                <w:kern w:val="0"/>
                <w:sz w:val="21"/>
                <w:szCs w:val="21"/>
                <w:lang w:val="en-US" w:eastAsia="zh-CN"/>
              </w:rPr>
              <w:t>实施方案</w:t>
            </w:r>
            <w:r>
              <w:rPr>
                <w:rFonts w:hint="eastAsia" w:ascii="宋体" w:hAnsi="宋体"/>
                <w:kern w:val="0"/>
                <w:sz w:val="21"/>
                <w:szCs w:val="21"/>
              </w:rPr>
              <w:t>（</w:t>
            </w:r>
            <w:r>
              <w:rPr>
                <w:rFonts w:hint="eastAsia" w:ascii="宋体" w:hAnsi="宋体"/>
                <w:kern w:val="0"/>
                <w:sz w:val="21"/>
                <w:szCs w:val="21"/>
                <w:lang w:val="en-US" w:eastAsia="zh-CN"/>
              </w:rPr>
              <w:t>40</w:t>
            </w:r>
            <w:r>
              <w:rPr>
                <w:rFonts w:hint="eastAsia" w:ascii="宋体" w:hAnsi="宋体"/>
                <w:kern w:val="0"/>
                <w:sz w:val="21"/>
                <w:szCs w:val="21"/>
              </w:rPr>
              <w:t>分）</w:t>
            </w:r>
          </w:p>
        </w:tc>
        <w:tc>
          <w:tcPr>
            <w:tcW w:w="7197"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rPr>
            </w:pPr>
            <w:r>
              <w:rPr>
                <w:rFonts w:hint="eastAsia" w:ascii="宋体" w:hAnsi="宋体"/>
                <w:kern w:val="0"/>
                <w:sz w:val="21"/>
                <w:szCs w:val="21"/>
              </w:rPr>
              <w:t>投标人针对本项目</w:t>
            </w:r>
            <w:r>
              <w:rPr>
                <w:rFonts w:hint="eastAsia" w:ascii="宋体" w:hAnsi="宋体"/>
                <w:kern w:val="0"/>
                <w:sz w:val="21"/>
                <w:szCs w:val="21"/>
                <w:lang w:val="en-US" w:eastAsia="zh-CN"/>
              </w:rPr>
              <w:t>采购需求</w:t>
            </w:r>
            <w:r>
              <w:rPr>
                <w:rFonts w:hint="eastAsia" w:ascii="宋体" w:hAnsi="宋体"/>
                <w:kern w:val="0"/>
                <w:sz w:val="21"/>
                <w:szCs w:val="21"/>
              </w:rPr>
              <w:t>进行</w:t>
            </w:r>
            <w:r>
              <w:rPr>
                <w:rFonts w:hint="eastAsia" w:ascii="宋体" w:hAnsi="宋体"/>
                <w:kern w:val="0"/>
                <w:sz w:val="21"/>
                <w:szCs w:val="21"/>
                <w:lang w:val="en-US" w:eastAsia="zh-CN"/>
              </w:rPr>
              <w:t>综合</w:t>
            </w:r>
            <w:r>
              <w:rPr>
                <w:rFonts w:hint="eastAsia" w:ascii="宋体" w:hAnsi="宋体"/>
                <w:kern w:val="0"/>
                <w:sz w:val="21"/>
                <w:szCs w:val="21"/>
              </w:rPr>
              <w:t>分析，</w:t>
            </w:r>
            <w:r>
              <w:rPr>
                <w:rFonts w:hint="eastAsia" w:ascii="宋体" w:hAnsi="宋体"/>
                <w:kern w:val="0"/>
                <w:sz w:val="21"/>
                <w:szCs w:val="21"/>
                <w:lang w:val="en-US" w:eastAsia="zh-CN"/>
              </w:rPr>
              <w:t>出具项目实施方案，包含但不限于</w:t>
            </w:r>
            <w:r>
              <w:rPr>
                <w:rFonts w:hint="eastAsia" w:ascii="宋体" w:hAnsi="宋体"/>
                <w:kern w:val="0"/>
                <w:sz w:val="21"/>
                <w:szCs w:val="21"/>
              </w:rPr>
              <w:t>本项目</w:t>
            </w:r>
            <w:r>
              <w:rPr>
                <w:rFonts w:hint="eastAsia" w:ascii="宋体" w:hAnsi="宋体"/>
                <w:kern w:val="0"/>
                <w:sz w:val="21"/>
                <w:szCs w:val="21"/>
                <w:lang w:val="en-US" w:eastAsia="zh-CN"/>
              </w:rPr>
              <w:t>定位、</w:t>
            </w:r>
            <w:r>
              <w:rPr>
                <w:rFonts w:hint="eastAsia" w:ascii="宋体" w:hAnsi="宋体"/>
                <w:kern w:val="0"/>
                <w:sz w:val="21"/>
                <w:szCs w:val="21"/>
              </w:rPr>
              <w:t>建设背景、</w:t>
            </w:r>
            <w:r>
              <w:rPr>
                <w:rFonts w:hint="eastAsia" w:ascii="宋体" w:hAnsi="宋体"/>
                <w:kern w:val="0"/>
                <w:sz w:val="21"/>
                <w:szCs w:val="21"/>
                <w:lang w:val="en-US" w:eastAsia="zh-CN"/>
              </w:rPr>
              <w:t>建设需求、建设内容</w:t>
            </w:r>
            <w:r>
              <w:rPr>
                <w:rFonts w:hint="eastAsia" w:ascii="宋体" w:hAnsi="宋体"/>
                <w:color w:val="auto"/>
                <w:kern w:val="0"/>
                <w:sz w:val="21"/>
                <w:szCs w:val="21"/>
                <w:lang w:val="en-US" w:eastAsia="zh-CN"/>
              </w:rPr>
              <w:t>、</w:t>
            </w:r>
            <w:r>
              <w:rPr>
                <w:rFonts w:hint="eastAsia" w:ascii="宋体" w:hAnsi="宋体"/>
                <w:color w:val="auto"/>
                <w:kern w:val="0"/>
                <w:sz w:val="21"/>
                <w:szCs w:val="21"/>
              </w:rPr>
              <w:t>现状分析</w:t>
            </w:r>
            <w:r>
              <w:rPr>
                <w:rFonts w:hint="eastAsia" w:ascii="宋体" w:hAnsi="宋体"/>
                <w:color w:val="auto"/>
                <w:kern w:val="0"/>
                <w:sz w:val="21"/>
                <w:szCs w:val="21"/>
                <w:lang w:eastAsia="zh-CN"/>
              </w:rPr>
              <w:t>、</w:t>
            </w:r>
            <w:r>
              <w:rPr>
                <w:rFonts w:hint="eastAsia" w:ascii="宋体" w:hAnsi="宋体"/>
                <w:kern w:val="0"/>
                <w:sz w:val="21"/>
                <w:szCs w:val="21"/>
                <w:lang w:eastAsia="zh-CN"/>
              </w:rPr>
              <w:t>总设计说明、设计理念、</w:t>
            </w:r>
            <w:r>
              <w:rPr>
                <w:rFonts w:hint="eastAsia" w:ascii="宋体" w:hAnsi="宋体"/>
                <w:kern w:val="0"/>
                <w:sz w:val="21"/>
                <w:szCs w:val="21"/>
                <w:lang w:val="en-US" w:eastAsia="zh-CN"/>
              </w:rPr>
              <w:t>工作部署、</w:t>
            </w:r>
            <w:r>
              <w:rPr>
                <w:rFonts w:hint="eastAsia" w:ascii="宋体" w:hAnsi="宋体"/>
                <w:kern w:val="0"/>
                <w:sz w:val="21"/>
                <w:szCs w:val="21"/>
              </w:rPr>
              <w:t>重点</w:t>
            </w:r>
            <w:r>
              <w:rPr>
                <w:rFonts w:hint="eastAsia" w:ascii="宋体" w:hAnsi="宋体"/>
                <w:kern w:val="0"/>
                <w:sz w:val="21"/>
                <w:szCs w:val="21"/>
                <w:lang w:val="en-US" w:eastAsia="zh-CN"/>
              </w:rPr>
              <w:t>分析</w:t>
            </w:r>
            <w:r>
              <w:rPr>
                <w:rFonts w:hint="eastAsia" w:ascii="宋体" w:hAnsi="宋体"/>
                <w:kern w:val="0"/>
                <w:sz w:val="21"/>
                <w:szCs w:val="21"/>
              </w:rPr>
              <w:t>、</w:t>
            </w:r>
            <w:r>
              <w:rPr>
                <w:rFonts w:hint="eastAsia" w:ascii="宋体" w:hAnsi="宋体"/>
                <w:kern w:val="0"/>
                <w:sz w:val="21"/>
                <w:szCs w:val="21"/>
                <w:lang w:val="en-US" w:eastAsia="zh-CN"/>
              </w:rPr>
              <w:t>团队配置、质量及进度保证措施、服务承诺等内容</w:t>
            </w:r>
            <w:r>
              <w:rPr>
                <w:rFonts w:hint="eastAsia" w:ascii="宋体" w:hAnsi="宋体"/>
                <w:kern w:val="0"/>
                <w:sz w:val="21"/>
                <w:szCs w:val="21"/>
              </w:rPr>
              <w:t>。</w:t>
            </w:r>
          </w:p>
          <w:p>
            <w:pPr>
              <w:keepNext w:val="0"/>
              <w:keepLines w:val="0"/>
              <w:pageBreakBefore w:val="0"/>
              <w:widowControl/>
              <w:numPr>
                <w:ilvl w:val="0"/>
                <w:numId w:val="2"/>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rPr>
            </w:pPr>
            <w:r>
              <w:rPr>
                <w:rFonts w:hint="eastAsia" w:ascii="宋体" w:hAnsi="宋体"/>
                <w:kern w:val="0"/>
                <w:sz w:val="21"/>
                <w:szCs w:val="21"/>
              </w:rPr>
              <w:t>内容完整、方案全面、可行性强、针对性强的，</w:t>
            </w:r>
            <w:r>
              <w:rPr>
                <w:rFonts w:hint="eastAsia" w:ascii="宋体" w:hAnsi="宋体"/>
                <w:kern w:val="0"/>
                <w:sz w:val="21"/>
                <w:szCs w:val="21"/>
                <w:lang w:val="en-US" w:eastAsia="zh-CN"/>
              </w:rPr>
              <w:t>35＜得分≤40分</w:t>
            </w:r>
            <w:r>
              <w:rPr>
                <w:rFonts w:hint="eastAsia" w:ascii="宋体" w:hAnsi="宋体"/>
                <w:kern w:val="0"/>
                <w:sz w:val="21"/>
                <w:szCs w:val="21"/>
              </w:rPr>
              <w:t>；</w:t>
            </w:r>
          </w:p>
          <w:p>
            <w:pPr>
              <w:keepNext w:val="0"/>
              <w:keepLines w:val="0"/>
              <w:pageBreakBefore w:val="0"/>
              <w:widowControl/>
              <w:numPr>
                <w:ilvl w:val="0"/>
                <w:numId w:val="2"/>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内容完整、具有可行性和针对性的，25＜得分≤35分；</w:t>
            </w:r>
          </w:p>
          <w:p>
            <w:pPr>
              <w:keepNext w:val="0"/>
              <w:keepLines w:val="0"/>
              <w:pageBreakBefore w:val="0"/>
              <w:widowControl/>
              <w:numPr>
                <w:ilvl w:val="0"/>
                <w:numId w:val="2"/>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有相应的内容，但需完善的，10＜得分≤25分。</w:t>
            </w:r>
          </w:p>
          <w:p>
            <w:pPr>
              <w:keepNext w:val="0"/>
              <w:keepLines w:val="0"/>
              <w:pageBreakBefore w:val="0"/>
              <w:widowControl/>
              <w:numPr>
                <w:ilvl w:val="0"/>
                <w:numId w:val="2"/>
              </w:numPr>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rPr>
              <w:t>未提供不得分。</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cs="Times New Roman" w:eastAsiaTheme="minorEastAsia"/>
                <w:kern w:val="0"/>
                <w:sz w:val="21"/>
                <w:szCs w:val="21"/>
                <w:lang w:val="en-US" w:eastAsia="zh-CN" w:bidi="ar-SA"/>
              </w:rPr>
            </w:pPr>
            <w:r>
              <w:rPr>
                <w:rFonts w:hint="eastAsia" w:ascii="宋体" w:hAnsi="宋体"/>
                <w:kern w:val="0"/>
                <w:sz w:val="21"/>
                <w:szCs w:val="21"/>
                <w:lang w:val="en-US" w:eastAsia="zh-CN"/>
              </w:rPr>
              <w:t>具体档次由评标小组成员根据响应文件编制情况综合评判。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jc w:val="center"/>
        </w:trPr>
        <w:tc>
          <w:tcPr>
            <w:tcW w:w="1228" w:type="dxa"/>
            <w:vMerge w:val="continue"/>
            <w:vAlign w:val="center"/>
          </w:tcPr>
          <w:p>
            <w:pPr>
              <w:pStyle w:val="2"/>
              <w:keepNext w:val="0"/>
              <w:keepLines w:val="0"/>
              <w:pageBreakBefore w:val="0"/>
              <w:widowControl/>
              <w:kinsoku/>
              <w:wordWrap/>
              <w:overflowPunct/>
              <w:topLinePunct w:val="0"/>
              <w:autoSpaceDE/>
              <w:autoSpaceDN/>
              <w:bidi w:val="0"/>
              <w:adjustRightInd/>
              <w:snapToGrid/>
              <w:spacing w:line="440" w:lineRule="exact"/>
              <w:textAlignment w:val="auto"/>
            </w:pPr>
          </w:p>
        </w:tc>
        <w:tc>
          <w:tcPr>
            <w:tcW w:w="1353"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Times New Roman"/>
                <w:kern w:val="0"/>
                <w:sz w:val="21"/>
                <w:szCs w:val="21"/>
                <w:lang w:val="en-US" w:eastAsia="zh-CN" w:bidi="ar-SA"/>
              </w:rPr>
            </w:pPr>
            <w:r>
              <w:rPr>
                <w:rFonts w:hint="eastAsia" w:ascii="宋体" w:hAnsi="宋体"/>
                <w:kern w:val="0"/>
                <w:sz w:val="21"/>
                <w:szCs w:val="21"/>
                <w:lang w:val="en-US" w:eastAsia="zh-CN"/>
              </w:rPr>
              <w:t>企业业绩</w:t>
            </w:r>
            <w:r>
              <w:rPr>
                <w:rFonts w:hint="eastAsia" w:ascii="宋体" w:hAnsi="宋体"/>
                <w:kern w:val="0"/>
                <w:sz w:val="21"/>
                <w:szCs w:val="21"/>
              </w:rPr>
              <w:t>（</w:t>
            </w:r>
            <w:r>
              <w:rPr>
                <w:rFonts w:hint="eastAsia" w:ascii="宋体" w:hAnsi="宋体"/>
                <w:kern w:val="0"/>
                <w:sz w:val="21"/>
                <w:szCs w:val="21"/>
                <w:lang w:val="en-US" w:eastAsia="zh-CN"/>
              </w:rPr>
              <w:t>20</w:t>
            </w:r>
            <w:r>
              <w:rPr>
                <w:rFonts w:hint="eastAsia" w:ascii="宋体" w:hAnsi="宋体"/>
                <w:kern w:val="0"/>
                <w:sz w:val="21"/>
                <w:szCs w:val="21"/>
              </w:rPr>
              <w:t>分）</w:t>
            </w:r>
          </w:p>
        </w:tc>
        <w:tc>
          <w:tcPr>
            <w:tcW w:w="7197"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自20</w:t>
            </w:r>
            <w:r>
              <w:rPr>
                <w:rFonts w:hint="eastAsia" w:ascii="宋体" w:hAnsi="宋体" w:cs="Times New Roman"/>
                <w:kern w:val="0"/>
                <w:sz w:val="21"/>
                <w:szCs w:val="21"/>
                <w:lang w:val="en-US" w:eastAsia="zh-CN"/>
              </w:rPr>
              <w:t>19</w:t>
            </w:r>
            <w:r>
              <w:rPr>
                <w:rFonts w:hint="eastAsia" w:ascii="宋体" w:hAnsi="宋体" w:eastAsia="宋体" w:cs="Times New Roman"/>
                <w:kern w:val="0"/>
                <w:sz w:val="21"/>
                <w:szCs w:val="21"/>
                <w:lang w:val="en-US" w:eastAsia="zh-CN"/>
              </w:rPr>
              <w:t>年1月1日以来，投标人完成类似项目的概念性设计方案、规划设计方案、修建性设计方案等，1个得</w:t>
            </w:r>
            <w:r>
              <w:rPr>
                <w:rFonts w:hint="eastAsia" w:ascii="宋体" w:hAnsi="宋体" w:cs="Times New Roman"/>
                <w:kern w:val="0"/>
                <w:sz w:val="21"/>
                <w:szCs w:val="21"/>
                <w:lang w:val="en-US" w:eastAsia="zh-CN"/>
              </w:rPr>
              <w:t>5</w:t>
            </w:r>
            <w:r>
              <w:rPr>
                <w:rFonts w:hint="eastAsia" w:ascii="宋体" w:hAnsi="宋体" w:eastAsia="宋体" w:cs="Times New Roman"/>
                <w:kern w:val="0"/>
                <w:sz w:val="21"/>
                <w:szCs w:val="21"/>
                <w:lang w:val="en-US" w:eastAsia="zh-CN"/>
              </w:rPr>
              <w:t>分，最多得</w:t>
            </w:r>
            <w:r>
              <w:rPr>
                <w:rFonts w:hint="eastAsia" w:ascii="宋体" w:hAnsi="宋体" w:cs="Times New Roman"/>
                <w:kern w:val="0"/>
                <w:sz w:val="21"/>
                <w:szCs w:val="21"/>
                <w:lang w:val="en-US" w:eastAsia="zh-CN"/>
              </w:rPr>
              <w:t>20</w:t>
            </w:r>
            <w:r>
              <w:rPr>
                <w:rFonts w:hint="eastAsia" w:ascii="宋体" w:hAnsi="宋体" w:eastAsia="宋体" w:cs="Times New Roman"/>
                <w:kern w:val="0"/>
                <w:sz w:val="21"/>
                <w:szCs w:val="21"/>
                <w:lang w:val="en-US" w:eastAsia="zh-CN"/>
              </w:rPr>
              <w:t>分。</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rPr>
            </w:pPr>
            <w:r>
              <w:rPr>
                <w:rFonts w:hint="eastAsia" w:ascii="宋体" w:hAnsi="宋体" w:cs="Times New Roman"/>
                <w:kern w:val="0"/>
                <w:sz w:val="21"/>
                <w:szCs w:val="21"/>
                <w:lang w:val="en-US" w:eastAsia="zh-CN"/>
              </w:rPr>
              <w:t>1.</w:t>
            </w:r>
            <w:r>
              <w:rPr>
                <w:rFonts w:hint="eastAsia" w:ascii="宋体" w:hAnsi="宋体" w:eastAsia="宋体" w:cs="Times New Roman"/>
                <w:kern w:val="0"/>
                <w:sz w:val="21"/>
                <w:szCs w:val="21"/>
                <w:lang w:val="en-US" w:eastAsia="zh-CN"/>
              </w:rPr>
              <w:t>类似项目指占地面积不低于200亩的小镇、片区、综合体、城市更新等。</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kern w:val="0"/>
                <w:sz w:val="21"/>
                <w:szCs w:val="21"/>
                <w:lang w:val="en-US" w:eastAsia="zh-CN" w:bidi="ar-SA"/>
              </w:rPr>
            </w:pPr>
            <w:r>
              <w:rPr>
                <w:rFonts w:hint="eastAsia" w:ascii="宋体" w:hAnsi="宋体" w:cs="Times New Roman"/>
                <w:kern w:val="0"/>
                <w:sz w:val="21"/>
                <w:szCs w:val="21"/>
                <w:lang w:val="en-US" w:eastAsia="zh-CN"/>
              </w:rPr>
              <w:t>2.必须</w:t>
            </w:r>
            <w:r>
              <w:rPr>
                <w:rFonts w:hint="eastAsia" w:ascii="宋体" w:hAnsi="宋体" w:eastAsia="宋体" w:cs="Times New Roman"/>
                <w:kern w:val="0"/>
                <w:sz w:val="21"/>
                <w:szCs w:val="21"/>
                <w:lang w:val="en-US" w:eastAsia="zh-CN"/>
              </w:rPr>
              <w:t>提供签订合同复印件加盖公章作为证明材料</w:t>
            </w:r>
            <w:r>
              <w:rPr>
                <w:rFonts w:hint="eastAsia" w:ascii="宋体" w:hAnsi="宋体" w:cs="Times New Roman"/>
                <w:kern w:val="0"/>
                <w:sz w:val="21"/>
                <w:szCs w:val="21"/>
                <w:lang w:val="en-US" w:eastAsia="zh-CN"/>
              </w:rPr>
              <w:t>，合同中能够体现上述关键信息。</w:t>
            </w:r>
            <w:r>
              <w:rPr>
                <w:rFonts w:hint="eastAsia" w:ascii="宋体" w:hAnsi="宋体" w:eastAsia="宋体" w:cs="Times New Roman"/>
                <w:kern w:val="0"/>
                <w:sz w:val="21"/>
                <w:szCs w:val="21"/>
                <w:lang w:val="en-US" w:eastAsia="zh-CN"/>
              </w:rPr>
              <w:t>投标供应商与其关联公司 （单位负责人为同一人或者存在直接控股、管理关系的不同供应商） 之间签订的合同，均不予认可。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1228" w:type="dxa"/>
            <w:vMerge w:val="continue"/>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kern w:val="0"/>
                <w:sz w:val="21"/>
                <w:szCs w:val="21"/>
              </w:rPr>
            </w:pPr>
          </w:p>
        </w:tc>
        <w:tc>
          <w:tcPr>
            <w:tcW w:w="1353"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kern w:val="0"/>
                <w:sz w:val="21"/>
                <w:szCs w:val="21"/>
                <w:lang w:val="en-US" w:eastAsia="zh-CN"/>
              </w:rPr>
            </w:pPr>
            <w:r>
              <w:rPr>
                <w:rFonts w:hint="eastAsia" w:ascii="宋体" w:hAnsi="宋体"/>
                <w:kern w:val="0"/>
                <w:sz w:val="21"/>
                <w:szCs w:val="21"/>
                <w:lang w:val="en-US" w:eastAsia="zh-CN"/>
              </w:rPr>
              <w:t>企业荣誉（20分）</w:t>
            </w:r>
          </w:p>
        </w:tc>
        <w:tc>
          <w:tcPr>
            <w:tcW w:w="7197" w:type="dxa"/>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kern w:val="0"/>
                <w:sz w:val="21"/>
                <w:szCs w:val="21"/>
                <w:lang w:val="en-US" w:eastAsia="zh-CN"/>
              </w:rPr>
            </w:pPr>
            <w:r>
              <w:rPr>
                <w:rFonts w:hint="eastAsia" w:ascii="宋体" w:hAnsi="宋体"/>
                <w:kern w:val="0"/>
                <w:sz w:val="21"/>
                <w:szCs w:val="21"/>
                <w:lang w:val="en-US" w:eastAsia="zh-CN"/>
              </w:rPr>
              <w:t>自2019年1月1日以来，投标人获得过国家级荣誉，1个得20分，获得过省级荣誉，1个得10分，获得过市级荣誉，1个得5分，本项最高得20分。</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kern w:val="0"/>
                <w:sz w:val="21"/>
                <w:szCs w:val="21"/>
                <w:lang w:val="en-US" w:eastAsia="zh-CN"/>
              </w:rPr>
            </w:pPr>
            <w:r>
              <w:rPr>
                <w:rFonts w:hint="eastAsia" w:ascii="宋体" w:hAnsi="宋体"/>
                <w:kern w:val="0"/>
                <w:sz w:val="21"/>
                <w:szCs w:val="21"/>
                <w:lang w:val="en-US" w:eastAsia="zh-CN"/>
              </w:rPr>
              <w:t>1.须提供荣誉文件复印件加盖公章作为证明材料。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1" w:type="dxa"/>
            <w:gridSpan w:val="2"/>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default" w:ascii="宋体" w:hAnsi="宋体" w:eastAsiaTheme="minorEastAsia"/>
                <w:kern w:val="0"/>
                <w:sz w:val="21"/>
                <w:szCs w:val="21"/>
                <w:lang w:val="en-US" w:eastAsia="zh-CN"/>
              </w:rPr>
            </w:pPr>
            <w:r>
              <w:rPr>
                <w:rFonts w:hint="eastAsia" w:ascii="宋体" w:hAnsi="宋体" w:eastAsiaTheme="minorEastAsia"/>
                <w:kern w:val="0"/>
                <w:sz w:val="21"/>
                <w:szCs w:val="21"/>
                <w:lang w:val="en-US" w:eastAsia="zh-CN"/>
              </w:rPr>
              <w:t>最终得分</w:t>
            </w:r>
          </w:p>
        </w:tc>
        <w:tc>
          <w:tcPr>
            <w:tcW w:w="7197" w:type="dxa"/>
          </w:tcPr>
          <w:p>
            <w:pPr>
              <w:keepNext w:val="0"/>
              <w:keepLines w:val="0"/>
              <w:pageBreakBefore w:val="0"/>
              <w:widowControl/>
              <w:kinsoku/>
              <w:wordWrap/>
              <w:overflowPunct/>
              <w:topLinePunct w:val="0"/>
              <w:autoSpaceDE/>
              <w:autoSpaceDN/>
              <w:bidi w:val="0"/>
              <w:adjustRightInd/>
              <w:snapToGrid/>
              <w:spacing w:line="440" w:lineRule="exact"/>
              <w:textAlignment w:val="auto"/>
              <w:rPr>
                <w:rFonts w:hint="default" w:eastAsia="宋体"/>
                <w:sz w:val="21"/>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778" w:type="dxa"/>
            <w:gridSpan w:val="3"/>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eastAsia="宋体"/>
                <w:sz w:val="21"/>
                <w:szCs w:val="22"/>
                <w:lang w:val="en-US" w:eastAsia="zh-CN"/>
              </w:rPr>
            </w:pPr>
            <w:r>
              <w:rPr>
                <w:rFonts w:hint="eastAsia" w:ascii="宋体" w:hAnsi="宋体" w:eastAsia="宋体" w:cs="Times New Roman"/>
                <w:kern w:val="0"/>
                <w:sz w:val="21"/>
                <w:szCs w:val="21"/>
                <w:lang w:val="en-US" w:eastAsia="zh-CN"/>
              </w:rPr>
              <w:t>投标人的最终得分：将各位评标专家评分分数的算术平均值作为该投标人的最终得分，保留两位小数。</w:t>
            </w:r>
          </w:p>
        </w:tc>
      </w:tr>
    </w:tbl>
    <w:p>
      <w:pPr>
        <w:autoSpaceDE w:val="0"/>
        <w:autoSpaceDN w:val="0"/>
        <w:adjustRightInd w:val="0"/>
        <w:spacing w:line="700" w:lineRule="exact"/>
        <w:jc w:val="left"/>
        <w:rPr>
          <w:rFonts w:hint="eastAsia"/>
          <w:sz w:val="28"/>
          <w:szCs w:val="28"/>
          <w:lang w:val="en-US" w:eastAsia="zh-CN"/>
        </w:rPr>
      </w:pPr>
    </w:p>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8"/>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11"/>
        <w:rPr>
          <w:rFonts w:hAnsi="宋体" w:cs="微软雅黑"/>
          <w:szCs w:val="28"/>
        </w:rPr>
      </w:pPr>
    </w:p>
    <w:p>
      <w:pPr>
        <w:pStyle w:val="11"/>
        <w:rPr>
          <w:rFonts w:hAnsi="宋体" w:cs="微软雅黑"/>
          <w:szCs w:val="28"/>
        </w:rPr>
      </w:pPr>
    </w:p>
    <w:p>
      <w:pPr>
        <w:pStyle w:val="11"/>
        <w:rPr>
          <w:rFonts w:hAnsi="宋体" w:cs="微软雅黑"/>
          <w:szCs w:val="28"/>
        </w:rPr>
      </w:pPr>
    </w:p>
    <w:p>
      <w:pPr>
        <w:pStyle w:val="11"/>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8"/>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2"/>
        <w:tblW w:w="8221" w:type="dxa"/>
        <w:tblInd w:w="0" w:type="dxa"/>
        <w:tblLayout w:type="fixed"/>
        <w:tblCellMar>
          <w:top w:w="0" w:type="dxa"/>
          <w:left w:w="108" w:type="dxa"/>
          <w:bottom w:w="0" w:type="dxa"/>
          <w:right w:w="108" w:type="dxa"/>
        </w:tblCellMar>
      </w:tblPr>
      <w:tblGrid>
        <w:gridCol w:w="1843"/>
        <w:gridCol w:w="3685"/>
        <w:gridCol w:w="1710"/>
        <w:gridCol w:w="983"/>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71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9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7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98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71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98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7"/>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pStyle w:val="27"/>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9"/>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9"/>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9"/>
        <w:spacing w:line="480" w:lineRule="auto"/>
        <w:ind w:firstLine="540" w:firstLineChars="225"/>
        <w:jc w:val="left"/>
        <w:rPr>
          <w:rFonts w:asciiTheme="minorEastAsia" w:hAnsiTheme="minorEastAsia"/>
          <w:szCs w:val="24"/>
        </w:rPr>
      </w:pPr>
    </w:p>
    <w:p>
      <w:pPr>
        <w:pStyle w:val="29"/>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9"/>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30"/>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1"/>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w:t>
      </w:r>
      <w:r>
        <w:rPr>
          <w:rFonts w:hint="eastAsia" w:cs="Arial" w:asciiTheme="minorEastAsia" w:hAnsiTheme="minorEastAsia"/>
          <w:sz w:val="24"/>
          <w:szCs w:val="24"/>
        </w:rPr>
        <w:t>以我方的名义参加贵方______________________项目的响应活动，并代表我方全权办理针对上述项目的投标、开标、响应文件澄清、签约等一切具体事务和签署相关文件。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2"/>
        <w:ind w:firstLine="480" w:firstLineChars="200"/>
        <w:rPr>
          <w:rFonts w:hint="eastAsia"/>
        </w:rPr>
      </w:pPr>
      <w:r>
        <w:rPr>
          <w:rFonts w:hint="eastAsia" w:hAnsi="Times New Roman"/>
          <w:szCs w:val="21"/>
        </w:rPr>
        <w:t>法定代表人（单位负责人）授权代表联系电话（手机）：</w:t>
      </w:r>
    </w:p>
    <w:tbl>
      <w:tblPr>
        <w:tblStyle w:val="12"/>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rPr>
          <w:rFonts w:hint="eastAsia" w:ascii="宋体" w:cs="宋体"/>
          <w:szCs w:val="21"/>
        </w:rPr>
      </w:pPr>
    </w:p>
    <w:p>
      <w:pPr>
        <w:pStyle w:val="27"/>
        <w:numPr>
          <w:ilvl w:val="0"/>
          <w:numId w:val="3"/>
        </w:numPr>
        <w:jc w:val="center"/>
        <w:rPr>
          <w:rFonts w:hint="eastAsia" w:ascii="宋体" w:cs="宋体"/>
          <w:b/>
          <w:bCs/>
          <w:sz w:val="28"/>
          <w:szCs w:val="28"/>
          <w:lang w:val="en-US" w:eastAsia="zh-CN"/>
        </w:rPr>
      </w:pPr>
      <w:r>
        <w:rPr>
          <w:rFonts w:hint="eastAsia" w:ascii="宋体" w:cs="宋体"/>
          <w:b/>
          <w:bCs/>
          <w:sz w:val="28"/>
          <w:szCs w:val="28"/>
          <w:lang w:val="en-US" w:eastAsia="zh-CN"/>
        </w:rPr>
        <w:t>资质证书及营业执照</w:t>
      </w: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9"/>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提供资质证书</w:t>
      </w:r>
      <w:r>
        <w:rPr>
          <w:rFonts w:hint="eastAsia" w:hAnsi="宋体"/>
          <w:bCs/>
          <w:color w:val="auto"/>
          <w:szCs w:val="24"/>
          <w:lang w:val="en-US" w:eastAsia="zh-CN"/>
        </w:rPr>
        <w:t>及营业执照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9"/>
        <w:spacing w:line="480" w:lineRule="auto"/>
        <w:ind w:left="-538" w:leftChars="-256" w:firstLine="616" w:firstLineChars="257"/>
        <w:jc w:val="center"/>
        <w:rPr>
          <w:rFonts w:hint="eastAsia" w:hAnsi="宋体"/>
          <w:bCs/>
          <w:color w:val="auto"/>
          <w:szCs w:val="24"/>
        </w:rPr>
      </w:pPr>
    </w:p>
    <w:p>
      <w:pPr>
        <w:pStyle w:val="27"/>
        <w:numPr>
          <w:ilvl w:val="0"/>
          <w:numId w:val="0"/>
        </w:numPr>
        <w:ind w:firstLine="1687" w:firstLineChars="600"/>
        <w:jc w:val="both"/>
        <w:rPr>
          <w:rFonts w:hint="default" w:ascii="宋体" w:cs="宋体"/>
          <w:b/>
          <w:bCs/>
          <w:sz w:val="28"/>
          <w:szCs w:val="28"/>
          <w:lang w:val="en-US" w:eastAsia="zh-CN"/>
        </w:rPr>
      </w:pPr>
      <w:r>
        <w:rPr>
          <w:rFonts w:hint="eastAsia" w:ascii="宋体" w:cs="宋体"/>
          <w:b/>
          <w:bCs/>
          <w:sz w:val="28"/>
          <w:szCs w:val="28"/>
          <w:lang w:val="en-US" w:eastAsia="zh-CN"/>
        </w:rPr>
        <w:t>六、拟派负责人身份证及资格证书</w:t>
      </w: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9"/>
        <w:spacing w:line="480" w:lineRule="auto"/>
        <w:ind w:left="-538" w:leftChars="-256" w:firstLine="616" w:firstLineChars="257"/>
        <w:jc w:val="center"/>
        <w:rPr>
          <w:rFonts w:hint="eastAsia"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负责人身份证及资格证书</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center"/>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widowControl w:val="0"/>
        <w:numPr>
          <w:ilvl w:val="0"/>
          <w:numId w:val="0"/>
        </w:numPr>
        <w:jc w:val="both"/>
        <w:rPr>
          <w:rFonts w:hint="default" w:ascii="宋体" w:cs="宋体"/>
          <w:szCs w:val="21"/>
          <w:lang w:val="en-US" w:eastAsia="zh-CN"/>
        </w:rPr>
      </w:pPr>
    </w:p>
    <w:p>
      <w:pPr>
        <w:pStyle w:val="27"/>
        <w:numPr>
          <w:ilvl w:val="0"/>
          <w:numId w:val="0"/>
        </w:numPr>
        <w:ind w:leftChars="200" w:firstLine="1968" w:firstLineChars="700"/>
        <w:jc w:val="both"/>
        <w:rPr>
          <w:rFonts w:hint="eastAsia" w:ascii="宋体" w:cs="宋体"/>
          <w:b/>
          <w:bCs/>
          <w:sz w:val="28"/>
          <w:szCs w:val="28"/>
          <w:lang w:val="en-US" w:eastAsia="zh-CN"/>
        </w:rPr>
      </w:pPr>
      <w:r>
        <w:rPr>
          <w:rFonts w:hint="eastAsia" w:ascii="宋体" w:cs="宋体"/>
          <w:b/>
          <w:bCs/>
          <w:sz w:val="28"/>
          <w:szCs w:val="28"/>
          <w:lang w:val="en-US" w:eastAsia="zh-CN"/>
        </w:rPr>
        <w:t>七、企业综合实力证明资料</w:t>
      </w: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default" w:ascii="宋体" w:eastAsia="宋体" w:cs="宋体"/>
          <w:b/>
          <w:bCs/>
          <w:sz w:val="28"/>
          <w:szCs w:val="28"/>
          <w:lang w:val="en-US" w:eastAsia="zh-CN"/>
        </w:rPr>
      </w:pPr>
      <w:r>
        <w:rPr>
          <w:rFonts w:hint="eastAsia" w:ascii="宋体" w:hAnsi="宋体"/>
          <w:kern w:val="0"/>
          <w:sz w:val="21"/>
          <w:szCs w:val="21"/>
          <w:lang w:eastAsia="zh-CN"/>
        </w:rPr>
        <w:t>（</w:t>
      </w:r>
      <w:r>
        <w:rPr>
          <w:rFonts w:hint="eastAsia" w:ascii="宋体" w:hAnsi="宋体"/>
          <w:kern w:val="0"/>
          <w:sz w:val="21"/>
          <w:szCs w:val="21"/>
          <w:lang w:val="en-US" w:eastAsia="zh-CN"/>
        </w:rPr>
        <w:t>实施方案</w:t>
      </w:r>
      <w:r>
        <w:rPr>
          <w:rFonts w:hint="eastAsia" w:ascii="宋体" w:hAnsi="宋体"/>
          <w:kern w:val="0"/>
          <w:sz w:val="21"/>
          <w:szCs w:val="21"/>
          <w:lang w:eastAsia="zh-CN"/>
        </w:rPr>
        <w:t>、</w:t>
      </w:r>
      <w:r>
        <w:rPr>
          <w:rFonts w:hint="eastAsia" w:ascii="宋体" w:hAnsi="宋体"/>
          <w:kern w:val="0"/>
          <w:sz w:val="21"/>
          <w:szCs w:val="21"/>
          <w:lang w:val="en-US" w:eastAsia="zh-CN"/>
        </w:rPr>
        <w:t>企业业绩、企业荣誉）</w:t>
      </w: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0"/>
        </w:numPr>
        <w:jc w:val="center"/>
        <w:rPr>
          <w:rFonts w:hint="eastAsia" w:ascii="宋体" w:cs="宋体"/>
          <w:b/>
          <w:bCs/>
          <w:sz w:val="28"/>
          <w:szCs w:val="28"/>
          <w:lang w:val="en-US" w:eastAsia="zh-CN"/>
        </w:rPr>
      </w:pPr>
    </w:p>
    <w:p>
      <w:pPr>
        <w:pStyle w:val="27"/>
        <w:widowControl w:val="0"/>
        <w:numPr>
          <w:ilvl w:val="0"/>
          <w:numId w:val="4"/>
        </w:numPr>
        <w:jc w:val="center"/>
        <w:rPr>
          <w:rFonts w:hint="eastAsia" w:ascii="宋体" w:cs="宋体"/>
          <w:b/>
          <w:bCs/>
          <w:sz w:val="28"/>
          <w:szCs w:val="28"/>
          <w:lang w:val="en-US" w:eastAsia="zh-CN"/>
        </w:rPr>
      </w:pPr>
      <w:r>
        <w:rPr>
          <w:rFonts w:hint="eastAsia" w:ascii="宋体" w:cs="宋体"/>
          <w:b/>
          <w:bCs/>
          <w:sz w:val="28"/>
          <w:szCs w:val="28"/>
          <w:lang w:val="en-US" w:eastAsia="zh-CN"/>
        </w:rPr>
        <w:t>其它材料</w:t>
      </w:r>
    </w:p>
    <w:p>
      <w:pPr>
        <w:pStyle w:val="27"/>
        <w:widowControl w:val="0"/>
        <w:numPr>
          <w:ilvl w:val="0"/>
          <w:numId w:val="0"/>
        </w:numPr>
        <w:jc w:val="center"/>
        <w:rPr>
          <w:rFonts w:hint="default" w:ascii="宋体" w:cs="宋体"/>
          <w:b/>
          <w:bCs/>
          <w:sz w:val="28"/>
          <w:szCs w:val="28"/>
          <w:lang w:val="en-US" w:eastAsia="zh-CN"/>
        </w:rPr>
      </w:pPr>
      <w:r>
        <w:rPr>
          <w:rFonts w:hint="eastAsia" w:ascii="宋体" w:cs="宋体"/>
          <w:b/>
          <w:bCs/>
          <w:sz w:val="28"/>
          <w:szCs w:val="28"/>
          <w:lang w:val="en-US" w:eastAsia="zh-CN"/>
        </w:rPr>
        <w:t>（若没有，可填无）</w:t>
      </w:r>
    </w:p>
    <w:p>
      <w:pPr>
        <w:pStyle w:val="27"/>
        <w:widowControl w:val="0"/>
        <w:numPr>
          <w:ilvl w:val="0"/>
          <w:numId w:val="0"/>
        </w:numPr>
        <w:jc w:val="both"/>
        <w:rPr>
          <w:rFonts w:hint="default" w:ascii="宋体" w:cs="宋体"/>
          <w:b/>
          <w:bCs/>
          <w:sz w:val="28"/>
          <w:szCs w:val="28"/>
          <w:lang w:val="en-US" w:eastAsia="zh-CN"/>
        </w:rPr>
      </w:pPr>
    </w:p>
    <w:p>
      <w:pPr>
        <w:pStyle w:val="27"/>
        <w:widowControl w:val="0"/>
        <w:numPr>
          <w:ilvl w:val="0"/>
          <w:numId w:val="0"/>
        </w:numPr>
        <w:jc w:val="both"/>
        <w:rPr>
          <w:rFonts w:hint="default" w:ascii="宋体" w:cs="宋体"/>
          <w:b/>
          <w:bCs/>
          <w:sz w:val="28"/>
          <w:szCs w:val="28"/>
          <w:lang w:val="en-US" w:eastAsia="zh-CN"/>
        </w:rPr>
      </w:pPr>
    </w:p>
    <w:p>
      <w:pPr>
        <w:pStyle w:val="27"/>
        <w:widowControl w:val="0"/>
        <w:numPr>
          <w:ilvl w:val="0"/>
          <w:numId w:val="0"/>
        </w:numPr>
        <w:jc w:val="both"/>
        <w:rPr>
          <w:rFonts w:hint="default" w:ascii="宋体" w:cs="宋体"/>
          <w:b/>
          <w:bCs/>
          <w:sz w:val="28"/>
          <w:szCs w:val="28"/>
          <w:lang w:val="en-US" w:eastAsia="zh-CN"/>
        </w:rPr>
      </w:pPr>
    </w:p>
    <w:p>
      <w:pPr>
        <w:pStyle w:val="27"/>
        <w:widowControl w:val="0"/>
        <w:numPr>
          <w:ilvl w:val="0"/>
          <w:numId w:val="0"/>
        </w:numPr>
        <w:jc w:val="both"/>
        <w:rPr>
          <w:rFonts w:hint="default" w:ascii="宋体" w:cs="宋体"/>
          <w:b/>
          <w:bCs/>
          <w:sz w:val="28"/>
          <w:szCs w:val="28"/>
          <w:lang w:val="en-US" w:eastAsia="zh-CN"/>
        </w:rPr>
      </w:pPr>
    </w:p>
    <w:p>
      <w:pPr>
        <w:pStyle w:val="27"/>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03C62"/>
    <w:multiLevelType w:val="singleLevel"/>
    <w:tmpl w:val="90403C62"/>
    <w:lvl w:ilvl="0" w:tentative="0">
      <w:start w:val="1"/>
      <w:numFmt w:val="decimal"/>
      <w:lvlText w:val="%1."/>
      <w:lvlJc w:val="left"/>
      <w:pPr>
        <w:tabs>
          <w:tab w:val="left" w:pos="312"/>
        </w:tabs>
      </w:pPr>
    </w:lvl>
  </w:abstractNum>
  <w:abstractNum w:abstractNumId="1">
    <w:nsid w:val="AE56E065"/>
    <w:multiLevelType w:val="singleLevel"/>
    <w:tmpl w:val="AE56E065"/>
    <w:lvl w:ilvl="0" w:tentative="0">
      <w:start w:val="5"/>
      <w:numFmt w:val="chineseCounting"/>
      <w:suff w:val="nothing"/>
      <w:lvlText w:val="%1、"/>
      <w:lvlJc w:val="left"/>
      <w:rPr>
        <w:rFonts w:hint="eastAsia"/>
      </w:rPr>
    </w:lvl>
  </w:abstractNum>
  <w:abstractNum w:abstractNumId="2">
    <w:nsid w:val="EEFD5084"/>
    <w:multiLevelType w:val="singleLevel"/>
    <w:tmpl w:val="EEFD5084"/>
    <w:lvl w:ilvl="0" w:tentative="0">
      <w:start w:val="8"/>
      <w:numFmt w:val="chineseCounting"/>
      <w:suff w:val="nothing"/>
      <w:lvlText w:val="%1、"/>
      <w:lvlJc w:val="left"/>
      <w:rPr>
        <w:rFonts w:hint="eastAsia"/>
      </w:rPr>
    </w:lvl>
  </w:abstractNum>
  <w:abstractNum w:abstractNumId="3">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5"/>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112C44"/>
    <w:rsid w:val="011D4691"/>
    <w:rsid w:val="0139010F"/>
    <w:rsid w:val="03640CDF"/>
    <w:rsid w:val="04026F36"/>
    <w:rsid w:val="04364ACB"/>
    <w:rsid w:val="05CE7D10"/>
    <w:rsid w:val="06DD6FEF"/>
    <w:rsid w:val="0916283A"/>
    <w:rsid w:val="096A53CB"/>
    <w:rsid w:val="0B555CEB"/>
    <w:rsid w:val="0D226E9B"/>
    <w:rsid w:val="0E58794B"/>
    <w:rsid w:val="0E8D2557"/>
    <w:rsid w:val="10C7166C"/>
    <w:rsid w:val="11C848E9"/>
    <w:rsid w:val="11F83A0B"/>
    <w:rsid w:val="144E7F3E"/>
    <w:rsid w:val="146D5582"/>
    <w:rsid w:val="14836404"/>
    <w:rsid w:val="14BC5944"/>
    <w:rsid w:val="168B2E32"/>
    <w:rsid w:val="170B5F46"/>
    <w:rsid w:val="17295B12"/>
    <w:rsid w:val="19D543BA"/>
    <w:rsid w:val="1B062B0F"/>
    <w:rsid w:val="1DC8593B"/>
    <w:rsid w:val="1E5673D3"/>
    <w:rsid w:val="1F221187"/>
    <w:rsid w:val="1F303B22"/>
    <w:rsid w:val="1F895543"/>
    <w:rsid w:val="215C0A7C"/>
    <w:rsid w:val="22D1722D"/>
    <w:rsid w:val="23103EFB"/>
    <w:rsid w:val="23A26978"/>
    <w:rsid w:val="24DA152F"/>
    <w:rsid w:val="26D95666"/>
    <w:rsid w:val="294C5571"/>
    <w:rsid w:val="2A041394"/>
    <w:rsid w:val="2AB20E6B"/>
    <w:rsid w:val="2C0E7C49"/>
    <w:rsid w:val="2C451D2D"/>
    <w:rsid w:val="2D09403F"/>
    <w:rsid w:val="2DB63777"/>
    <w:rsid w:val="32FA33E2"/>
    <w:rsid w:val="335C34FE"/>
    <w:rsid w:val="33795866"/>
    <w:rsid w:val="3381154C"/>
    <w:rsid w:val="376C500E"/>
    <w:rsid w:val="37A30ED5"/>
    <w:rsid w:val="3A5F5F6F"/>
    <w:rsid w:val="3AAF547F"/>
    <w:rsid w:val="3DDA2B77"/>
    <w:rsid w:val="3E886713"/>
    <w:rsid w:val="407055D6"/>
    <w:rsid w:val="41D37AFA"/>
    <w:rsid w:val="43A442C6"/>
    <w:rsid w:val="43F73885"/>
    <w:rsid w:val="45161CE6"/>
    <w:rsid w:val="46B25651"/>
    <w:rsid w:val="48710218"/>
    <w:rsid w:val="491203AA"/>
    <w:rsid w:val="49EB6F4A"/>
    <w:rsid w:val="49EF7D9B"/>
    <w:rsid w:val="4B091138"/>
    <w:rsid w:val="4B48357F"/>
    <w:rsid w:val="4B6C26CB"/>
    <w:rsid w:val="4C2365F6"/>
    <w:rsid w:val="4CEF2724"/>
    <w:rsid w:val="4D795776"/>
    <w:rsid w:val="4D8B1D7C"/>
    <w:rsid w:val="4EB35368"/>
    <w:rsid w:val="4F102BE2"/>
    <w:rsid w:val="4FDD0E7B"/>
    <w:rsid w:val="509318E3"/>
    <w:rsid w:val="51E011C4"/>
    <w:rsid w:val="523429E2"/>
    <w:rsid w:val="52D23FA9"/>
    <w:rsid w:val="537D1635"/>
    <w:rsid w:val="53BB0720"/>
    <w:rsid w:val="55F0410E"/>
    <w:rsid w:val="57826D38"/>
    <w:rsid w:val="58EF2BD3"/>
    <w:rsid w:val="590007B3"/>
    <w:rsid w:val="5AEA4594"/>
    <w:rsid w:val="5EA13181"/>
    <w:rsid w:val="5F4F09AB"/>
    <w:rsid w:val="614B4DF2"/>
    <w:rsid w:val="624B638D"/>
    <w:rsid w:val="62A9228E"/>
    <w:rsid w:val="632C4DC5"/>
    <w:rsid w:val="635665DB"/>
    <w:rsid w:val="63A12BF9"/>
    <w:rsid w:val="66E30DC8"/>
    <w:rsid w:val="68EA072F"/>
    <w:rsid w:val="6A5A065B"/>
    <w:rsid w:val="6AC95EDC"/>
    <w:rsid w:val="6B977093"/>
    <w:rsid w:val="7000585A"/>
    <w:rsid w:val="71B115E4"/>
    <w:rsid w:val="71E600ED"/>
    <w:rsid w:val="72D05810"/>
    <w:rsid w:val="740C2D72"/>
    <w:rsid w:val="76E405BA"/>
    <w:rsid w:val="76FD4590"/>
    <w:rsid w:val="77070231"/>
    <w:rsid w:val="78215DE5"/>
    <w:rsid w:val="7A801A82"/>
    <w:rsid w:val="7BA2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link w:val="28"/>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spacing w:line="312" w:lineRule="auto"/>
      <w:ind w:firstLine="420"/>
    </w:pPr>
  </w:style>
  <w:style w:type="paragraph" w:styleId="3">
    <w:name w:val="Body Text"/>
    <w:basedOn w:val="1"/>
    <w:next w:val="2"/>
    <w:qFormat/>
    <w:uiPriority w:val="99"/>
    <w:pPr>
      <w:spacing w:after="120" w:afterLines="0"/>
    </w:pPr>
  </w:style>
  <w:style w:type="paragraph" w:customStyle="1" w:styleId="4">
    <w:name w:val="List Paragraph1"/>
    <w:basedOn w:val="1"/>
    <w:next w:val="1"/>
    <w:qFormat/>
    <w:uiPriority w:val="99"/>
    <w:pPr>
      <w:ind w:firstLine="420" w:firstLineChars="200"/>
    </w:p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qFormat/>
    <w:uiPriority w:val="0"/>
    <w:rPr>
      <w:rFonts w:eastAsia="宋体"/>
      <w:sz w:val="24"/>
    </w:rPr>
  </w:style>
  <w:style w:type="paragraph" w:styleId="9">
    <w:name w:val="Body Text 2"/>
    <w:basedOn w:val="1"/>
    <w:qFormat/>
    <w:uiPriority w:val="0"/>
    <w:pPr>
      <w:spacing w:line="480" w:lineRule="auto"/>
    </w:pPr>
    <w:rPr>
      <w:rFonts w:ascii="Times New Roman" w:hAnsi="Times New Roman" w:eastAsia="宋体" w:cs="Times New Roman"/>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4">
    <w:name w:val="FollowedHyperlink"/>
    <w:basedOn w:val="13"/>
    <w:qFormat/>
    <w:uiPriority w:val="0"/>
    <w:rPr>
      <w:color w:val="000000"/>
      <w:u w:val="none"/>
    </w:rPr>
  </w:style>
  <w:style w:type="character" w:styleId="15">
    <w:name w:val="Emphasis"/>
    <w:basedOn w:val="13"/>
    <w:qFormat/>
    <w:uiPriority w:val="0"/>
  </w:style>
  <w:style w:type="character" w:styleId="16">
    <w:name w:val="Hyperlink"/>
    <w:basedOn w:val="13"/>
    <w:qFormat/>
    <w:uiPriority w:val="0"/>
    <w:rPr>
      <w:color w:val="000000"/>
      <w:u w:val="none"/>
    </w:rPr>
  </w:style>
  <w:style w:type="character" w:customStyle="1" w:styleId="17">
    <w:name w:val="hover25"/>
    <w:basedOn w:val="13"/>
    <w:qFormat/>
    <w:uiPriority w:val="0"/>
  </w:style>
  <w:style w:type="character" w:customStyle="1" w:styleId="18">
    <w:name w:val="red"/>
    <w:basedOn w:val="13"/>
    <w:qFormat/>
    <w:uiPriority w:val="0"/>
    <w:rPr>
      <w:color w:val="FF0000"/>
      <w:sz w:val="18"/>
      <w:szCs w:val="18"/>
    </w:rPr>
  </w:style>
  <w:style w:type="character" w:customStyle="1" w:styleId="19">
    <w:name w:val="red1"/>
    <w:basedOn w:val="13"/>
    <w:qFormat/>
    <w:uiPriority w:val="0"/>
    <w:rPr>
      <w:color w:val="FF0000"/>
      <w:sz w:val="18"/>
      <w:szCs w:val="18"/>
    </w:rPr>
  </w:style>
  <w:style w:type="character" w:customStyle="1" w:styleId="20">
    <w:name w:val="red2"/>
    <w:basedOn w:val="13"/>
    <w:qFormat/>
    <w:uiPriority w:val="0"/>
    <w:rPr>
      <w:color w:val="CC0000"/>
    </w:rPr>
  </w:style>
  <w:style w:type="character" w:customStyle="1" w:styleId="21">
    <w:name w:val="red3"/>
    <w:basedOn w:val="13"/>
    <w:qFormat/>
    <w:uiPriority w:val="0"/>
    <w:rPr>
      <w:color w:val="FF0000"/>
    </w:rPr>
  </w:style>
  <w:style w:type="character" w:customStyle="1" w:styleId="22">
    <w:name w:val="green"/>
    <w:basedOn w:val="13"/>
    <w:qFormat/>
    <w:uiPriority w:val="0"/>
    <w:rPr>
      <w:color w:val="66AE00"/>
      <w:sz w:val="18"/>
      <w:szCs w:val="18"/>
    </w:rPr>
  </w:style>
  <w:style w:type="character" w:customStyle="1" w:styleId="23">
    <w:name w:val="green1"/>
    <w:basedOn w:val="13"/>
    <w:qFormat/>
    <w:uiPriority w:val="0"/>
    <w:rPr>
      <w:color w:val="66AE00"/>
      <w:sz w:val="18"/>
      <w:szCs w:val="18"/>
    </w:rPr>
  </w:style>
  <w:style w:type="character" w:customStyle="1" w:styleId="24">
    <w:name w:val="blue"/>
    <w:basedOn w:val="13"/>
    <w:qFormat/>
    <w:uiPriority w:val="0"/>
    <w:rPr>
      <w:color w:val="0371C6"/>
      <w:sz w:val="21"/>
      <w:szCs w:val="21"/>
    </w:rPr>
  </w:style>
  <w:style w:type="character" w:customStyle="1" w:styleId="25">
    <w:name w:val="right"/>
    <w:basedOn w:val="13"/>
    <w:qFormat/>
    <w:uiPriority w:val="0"/>
    <w:rPr>
      <w:color w:val="999999"/>
      <w:sz w:val="18"/>
      <w:szCs w:val="18"/>
    </w:rPr>
  </w:style>
  <w:style w:type="character" w:customStyle="1" w:styleId="26">
    <w:name w:val="gb-jt"/>
    <w:basedOn w:val="13"/>
    <w:qFormat/>
    <w:uiPriority w:val="0"/>
  </w:style>
  <w:style w:type="paragraph" w:customStyle="1" w:styleId="27">
    <w:name w:val="列出段落1"/>
    <w:basedOn w:val="1"/>
    <w:qFormat/>
    <w:uiPriority w:val="34"/>
    <w:pPr>
      <w:ind w:firstLine="420" w:firstLineChars="200"/>
    </w:pPr>
  </w:style>
  <w:style w:type="character" w:customStyle="1" w:styleId="28">
    <w:name w:val="标题 2 Char"/>
    <w:basedOn w:val="13"/>
    <w:link w:val="5"/>
    <w:qFormat/>
    <w:uiPriority w:val="0"/>
    <w:rPr>
      <w:rFonts w:ascii="Arial" w:hAnsi="Arial" w:eastAsia="黑体" w:cs="Times New Roman"/>
      <w:b/>
      <w:bCs/>
      <w:kern w:val="0"/>
      <w:sz w:val="32"/>
      <w:szCs w:val="32"/>
    </w:rPr>
  </w:style>
  <w:style w:type="paragraph" w:customStyle="1" w:styleId="29">
    <w:name w:val="正文文本缩进1"/>
    <w:basedOn w:val="1"/>
    <w:qFormat/>
    <w:uiPriority w:val="0"/>
    <w:pPr>
      <w:spacing w:line="360" w:lineRule="auto"/>
      <w:ind w:firstLine="480" w:firstLineChars="200"/>
    </w:pPr>
    <w:rPr>
      <w:rFonts w:ascii="宋体"/>
      <w:sz w:val="24"/>
    </w:rPr>
  </w:style>
  <w:style w:type="paragraph" w:customStyle="1" w:styleId="30">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1">
    <w:name w:val="日期1"/>
    <w:basedOn w:val="1"/>
    <w:next w:val="1"/>
    <w:qFormat/>
    <w:uiPriority w:val="0"/>
    <w:rPr>
      <w:sz w:val="24"/>
    </w:rPr>
  </w:style>
  <w:style w:type="paragraph" w:customStyle="1" w:styleId="32">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3733</Words>
  <Characters>3985</Characters>
  <Lines>0</Lines>
  <Paragraphs>0</Paragraphs>
  <TotalTime>37</TotalTime>
  <ScaleCrop>false</ScaleCrop>
  <LinksUpToDate>false</LinksUpToDate>
  <CharactersWithSpaces>4169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2024-07-09T09:52:52Z</cp:lastPrinted>
  <dcterms:modified xsi:type="dcterms:W3CDTF">2024-07-09T09:53:18Z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C0BEFAD953C3404788AE32F1AAB75DB3_13</vt:lpwstr>
  </property>
</Properties>
</file>