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ind w:left="2639" w:leftChars="209" w:hanging="2200" w:hangingChars="500"/>
        <w:jc w:val="center"/>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许昌市创业服务中心等五处资产</w:t>
      </w:r>
    </w:p>
    <w:p>
      <w:pPr>
        <w:keepNext w:val="0"/>
        <w:keepLines w:val="0"/>
        <w:pageBreakBefore w:val="0"/>
        <w:kinsoku/>
        <w:wordWrap/>
        <w:overflowPunct/>
        <w:topLinePunct w:val="0"/>
        <w:bidi w:val="0"/>
        <w:spacing w:line="560" w:lineRule="exact"/>
        <w:ind w:left="2639" w:leftChars="209" w:hanging="2200" w:hangingChars="500"/>
        <w:jc w:val="center"/>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地下空间不动产权证测绘项目询价文件</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“许昌市创业服务中心等五处资产地下空间不动产权证测绘项目”的潜在投标人应在《许昌市投资集团有限公司》网站公示公告栏获取询价</w:t>
      </w:r>
      <w:r>
        <w:rPr>
          <w:rFonts w:hint="eastAsia" w:ascii="仿宋" w:hAnsi="仿宋" w:eastAsia="仿宋" w:cs="仿宋"/>
          <w:sz w:val="32"/>
          <w:szCs w:val="32"/>
          <w:lang w:eastAsia="zh-CN"/>
        </w:rPr>
        <w:t>文件，并</w:t>
      </w:r>
      <w:r>
        <w:rPr>
          <w:rFonts w:hint="eastAsia" w:ascii="仿宋" w:hAnsi="仿宋" w:eastAsia="仿宋" w:cs="仿宋"/>
          <w:sz w:val="32"/>
          <w:szCs w:val="32"/>
          <w:lang w:val="en-US" w:eastAsia="zh-CN"/>
        </w:rPr>
        <w:t>于2024年2月2日9点00分（</w:t>
      </w:r>
      <w:r>
        <w:rPr>
          <w:rFonts w:hint="eastAsia" w:ascii="仿宋" w:hAnsi="仿宋" w:eastAsia="仿宋" w:cs="仿宋"/>
          <w:sz w:val="32"/>
          <w:szCs w:val="32"/>
          <w:lang w:eastAsia="zh-CN"/>
        </w:rPr>
        <w:t>北京时间）前提交</w:t>
      </w:r>
      <w:r>
        <w:rPr>
          <w:rFonts w:hint="eastAsia" w:ascii="仿宋" w:hAnsi="仿宋" w:eastAsia="仿宋" w:cs="仿宋"/>
          <w:sz w:val="32"/>
          <w:szCs w:val="32"/>
          <w:lang w:val="en-US" w:eastAsia="zh-CN"/>
        </w:rPr>
        <w:t>响应</w:t>
      </w:r>
      <w:r>
        <w:rPr>
          <w:rFonts w:hint="eastAsia" w:ascii="仿宋" w:hAnsi="仿宋" w:eastAsia="仿宋" w:cs="仿宋"/>
          <w:sz w:val="32"/>
          <w:szCs w:val="32"/>
          <w:lang w:eastAsia="zh-CN"/>
        </w:rPr>
        <w:t>文件。</w:t>
      </w:r>
    </w:p>
    <w:p>
      <w:pPr>
        <w:keepNext w:val="0"/>
        <w:keepLines w:val="0"/>
        <w:pageBreakBefore w:val="0"/>
        <w:widowControl w:val="0"/>
        <w:numPr>
          <w:ilvl w:val="0"/>
          <w:numId w:val="0"/>
        </w:numPr>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b w:val="0"/>
          <w:bCs/>
          <w:sz w:val="32"/>
          <w:szCs w:val="32"/>
          <w:lang w:val="en-US" w:eastAsia="zh-CN"/>
        </w:rPr>
        <w:t>一、</w:t>
      </w:r>
      <w:r>
        <w:rPr>
          <w:rFonts w:hint="eastAsia" w:ascii="黑体" w:hAnsi="黑体" w:eastAsia="黑体" w:cs="黑体"/>
          <w:b w:val="0"/>
          <w:bCs/>
          <w:sz w:val="32"/>
          <w:szCs w:val="32"/>
          <w:lang w:eastAsia="zh-CN"/>
        </w:rPr>
        <w:t>项目概况</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（一）项目名称：许昌市创业服务中心等五处资产地下空间不动产权证测绘项目。</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项目概况：办理许昌市创业服务中心、智慧信息产业园、科普教育基地、老年大学和汽车博物馆等五处资产地下空间不动产权证所需测绘服务，上述五处资产建筑面积合计约9万平方米，具体以测绘成果的建筑面积为准。</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（三）采购方式：询价。</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u w:val="none"/>
          <w:lang w:val="en-US" w:eastAsia="zh-CN"/>
        </w:rPr>
        <w:t>（四）采购</w:t>
      </w:r>
      <w:r>
        <w:rPr>
          <w:rFonts w:hint="eastAsia" w:ascii="仿宋" w:hAnsi="仿宋" w:eastAsia="仿宋" w:cs="仿宋"/>
          <w:sz w:val="32"/>
          <w:szCs w:val="32"/>
          <w:lang w:val="en-US" w:eastAsia="zh-CN"/>
        </w:rPr>
        <w:t>人：许昌市投资集团有限公司。</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（五）控制价：1.62元/m2（参照豫发改收费【2005】1007号文），超出</w:t>
      </w:r>
      <w:r>
        <w:rPr>
          <w:rFonts w:hint="eastAsia" w:ascii="仿宋" w:hAnsi="仿宋" w:eastAsia="仿宋" w:cs="仿宋"/>
          <w:sz w:val="32"/>
          <w:szCs w:val="32"/>
          <w:u w:val="none"/>
          <w:lang w:val="en-US" w:eastAsia="zh-CN"/>
        </w:rPr>
        <w:t>此报价的为无效投标，计算基数为测绘成果文件中的地下建筑面积。</w:t>
      </w:r>
    </w:p>
    <w:p>
      <w:pPr>
        <w:keepNext w:val="0"/>
        <w:keepLines w:val="0"/>
        <w:pageBreakBefore w:val="0"/>
        <w:kinsoku/>
        <w:wordWrap/>
        <w:overflowPunct/>
        <w:topLinePunct w:val="0"/>
        <w:bidi w:val="0"/>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highlight w:val="none"/>
          <w:u w:val="none"/>
          <w:lang w:val="en-US" w:eastAsia="zh-CN"/>
        </w:rPr>
        <w:t>（六）采购范围及需求：对</w:t>
      </w:r>
      <w:r>
        <w:rPr>
          <w:rFonts w:hint="eastAsia" w:ascii="仿宋" w:hAnsi="仿宋" w:eastAsia="仿宋" w:cs="仿宋"/>
          <w:sz w:val="32"/>
          <w:szCs w:val="32"/>
          <w:lang w:val="en-US" w:eastAsia="zh-CN"/>
        </w:rPr>
        <w:t>许昌市创业服务中心、智慧信息产业园、科普教育基地、老年大学和汽车博物馆等五处资产地下空间进行房产测绘，配合采购人办理完成地下空间不动产权证。</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u w:val="none"/>
          <w:lang w:val="en-US" w:eastAsia="zh-CN"/>
        </w:rPr>
        <w:t>（七）服务</w:t>
      </w:r>
      <w:r>
        <w:rPr>
          <w:rFonts w:hint="eastAsia" w:ascii="仿宋" w:hAnsi="仿宋" w:eastAsia="仿宋" w:cs="仿宋"/>
          <w:sz w:val="32"/>
          <w:szCs w:val="32"/>
          <w:lang w:val="en-US" w:eastAsia="zh-CN"/>
        </w:rPr>
        <w:t>周期：自签订合同之日起至办理地下空间不动产权证结束，其中自签订合同之日起5个工作日出具测绘成果。</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default"/>
          <w:lang w:val="en-US" w:eastAsia="zh-CN"/>
        </w:rPr>
      </w:pPr>
      <w:r>
        <w:rPr>
          <w:rFonts w:hint="eastAsia" w:ascii="仿宋" w:hAnsi="仿宋" w:eastAsia="仿宋" w:cs="仿宋"/>
          <w:sz w:val="32"/>
          <w:szCs w:val="32"/>
          <w:u w:val="none"/>
          <w:lang w:val="en-US" w:eastAsia="zh-CN"/>
        </w:rPr>
        <w:t>（八）合同及费用支付方式：</w:t>
      </w:r>
      <w:r>
        <w:rPr>
          <w:rFonts w:hint="eastAsia" w:ascii="仿宋" w:hAnsi="仿宋" w:eastAsia="仿宋" w:cs="仿宋"/>
          <w:sz w:val="32"/>
          <w:szCs w:val="32"/>
          <w:lang w:val="en-US" w:eastAsia="zh-CN"/>
        </w:rPr>
        <w:t>办理完毕产权证后，一次性支付全部费用</w:t>
      </w:r>
      <w:r>
        <w:rPr>
          <w:rFonts w:hint="eastAsia" w:ascii="仿宋" w:hAnsi="仿宋" w:eastAsia="仿宋" w:cs="仿宋"/>
          <w:sz w:val="32"/>
          <w:szCs w:val="32"/>
          <w:u w:val="none"/>
          <w:lang w:val="en-US" w:eastAsia="zh-CN"/>
        </w:rPr>
        <w:t>。</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960" w:firstLineChars="3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二、申请人资格</w:t>
      </w:r>
      <w:r>
        <w:rPr>
          <w:rFonts w:hint="eastAsia" w:ascii="黑体" w:hAnsi="黑体" w:eastAsia="黑体" w:cs="黑体"/>
          <w:b w:val="0"/>
          <w:bCs/>
          <w:sz w:val="32"/>
          <w:szCs w:val="32"/>
        </w:rPr>
        <w:t>要求</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失信被执行人、异常经营名录、税收违法黑名单的投标人；未被列入“中国政府采购网”政府采购严重违法失信行为记录名单的投标人；未被列入“国家企业信用信息公示系统”经营异常名录或严重失信黑名单的投标人。</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（三）投标人必须具有乙级及以上测绘资质、独立的法人资格和有效的营业执照。</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highlight w:val="none"/>
          <w:u w:val="none"/>
          <w:lang w:val="en-US" w:eastAsia="zh-CN"/>
        </w:rPr>
        <w:t>（四）本</w:t>
      </w:r>
      <w:r>
        <w:rPr>
          <w:rFonts w:hint="eastAsia" w:ascii="仿宋" w:hAnsi="仿宋" w:eastAsia="仿宋" w:cs="仿宋"/>
          <w:sz w:val="32"/>
          <w:szCs w:val="32"/>
          <w:u w:val="none"/>
          <w:lang w:val="en-US" w:eastAsia="zh-CN"/>
        </w:rPr>
        <w:t>项目不接受联合体投标。</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（五）单位负责人为同一人或者存在控股、管理关系的不同单位，不得同时参与本项目投标。</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（六）本项目实行资格后审。</w:t>
      </w:r>
    </w:p>
    <w:p>
      <w:pPr>
        <w:keepNext w:val="0"/>
        <w:keepLines w:val="0"/>
        <w:pageBreakBefore w:val="0"/>
        <w:kinsoku/>
        <w:wordWrap/>
        <w:overflowPunct/>
        <w:topLinePunct w:val="0"/>
        <w:bidi w:val="0"/>
        <w:spacing w:beforeAutospacing="0" w:afterAutospacing="0" w:line="560" w:lineRule="exact"/>
        <w:ind w:firstLine="640" w:firstLineChars="200"/>
        <w:jc w:val="left"/>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（七）企业综合实力得分≥80分。</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仿宋" w:hAnsi="仿宋" w:eastAsia="仿宋" w:cs="仿宋"/>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kinsoku/>
        <w:wordWrap/>
        <w:overflowPunct/>
        <w:topLinePunct w:val="0"/>
        <w:autoSpaceDE/>
        <w:autoSpaceDN/>
        <w:bidi w:val="0"/>
        <w:snapToGrid/>
        <w:spacing w:beforeAutospacing="0" w:afterAutospacing="0" w:line="560" w:lineRule="exact"/>
        <w:ind w:left="0" w:leftChars="0" w:firstLine="640" w:firstLineChars="200"/>
        <w:jc w:val="left"/>
        <w:textAlignment w:val="auto"/>
        <w:outlineLvl w:val="9"/>
        <w:rPr>
          <w:rFonts w:hint="eastAsia" w:ascii="仿宋" w:hAnsi="仿宋" w:eastAsia="仿宋" w:cs="仿宋"/>
          <w:b w:val="0"/>
          <w:bCs w:val="0"/>
          <w:sz w:val="32"/>
          <w:szCs w:val="32"/>
          <w:u w:val="none"/>
          <w:lang w:val="en-US"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w:t>
      </w:r>
      <w:r>
        <w:rPr>
          <w:rFonts w:hint="eastAsia" w:ascii="仿宋" w:hAnsi="仿宋" w:eastAsia="仿宋" w:cs="仿宋"/>
          <w:sz w:val="32"/>
          <w:szCs w:val="32"/>
          <w:u w:val="none"/>
          <w:lang w:val="en-US" w:eastAsia="zh-CN"/>
        </w:rPr>
        <w:t>：2024年2月2日9点00分（北京时间）。</w:t>
      </w:r>
    </w:p>
    <w:p>
      <w:pPr>
        <w:keepNext w:val="0"/>
        <w:keepLines w:val="0"/>
        <w:pageBreakBefore w:val="0"/>
        <w:widowControl/>
        <w:kinsoku/>
        <w:wordWrap/>
        <w:overflowPunct/>
        <w:topLinePunct w:val="0"/>
        <w:autoSpaceDE/>
        <w:autoSpaceDN/>
        <w:bidi w:val="0"/>
        <w:snapToGrid/>
        <w:spacing w:beforeAutospacing="0" w:afterAutospacing="0" w:line="560" w:lineRule="exact"/>
        <w:ind w:left="0" w:leftChars="0"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val="0"/>
          <w:sz w:val="32"/>
          <w:szCs w:val="32"/>
          <w:u w:val="none"/>
          <w:lang w:val="en-US" w:eastAsia="zh-CN"/>
        </w:rPr>
        <w:t>（二）</w:t>
      </w:r>
      <w:r>
        <w:rPr>
          <w:rFonts w:hint="eastAsia" w:ascii="仿宋" w:hAnsi="仿宋" w:eastAsia="仿宋" w:cs="仿宋"/>
          <w:b w:val="0"/>
          <w:bCs w:val="0"/>
          <w:sz w:val="32"/>
          <w:szCs w:val="32"/>
          <w:u w:val="none"/>
          <w:lang w:eastAsia="zh-CN"/>
        </w:rPr>
        <w:t>地点：许昌市</w:t>
      </w:r>
      <w:r>
        <w:rPr>
          <w:rFonts w:hint="eastAsia" w:ascii="仿宋" w:hAnsi="仿宋" w:eastAsia="仿宋" w:cs="仿宋"/>
          <w:b w:val="0"/>
          <w:bCs w:val="0"/>
          <w:sz w:val="32"/>
          <w:szCs w:val="32"/>
          <w:u w:val="none"/>
          <w:lang w:val="en-US" w:eastAsia="zh-CN"/>
        </w:rPr>
        <w:t>智慧信息产业园</w:t>
      </w:r>
      <w:r>
        <w:rPr>
          <w:rFonts w:hint="eastAsia" w:ascii="仿宋" w:hAnsi="仿宋" w:eastAsia="仿宋" w:cs="仿宋"/>
          <w:b w:val="0"/>
          <w:bCs/>
          <w:sz w:val="32"/>
          <w:szCs w:val="32"/>
          <w:lang w:val="en-US" w:eastAsia="zh-CN"/>
        </w:rPr>
        <w:t>科创基地四楼开标室</w:t>
      </w:r>
      <w:r>
        <w:rPr>
          <w:rFonts w:hint="eastAsia" w:ascii="仿宋" w:hAnsi="仿宋" w:eastAsia="仿宋" w:cs="仿宋"/>
          <w:b w:val="0"/>
          <w:bCs/>
          <w:sz w:val="32"/>
          <w:szCs w:val="32"/>
          <w:lang w:eastAsia="zh-CN"/>
        </w:rPr>
        <w:t>（本项目采用不见面开标，投标人无须到现场），</w:t>
      </w:r>
      <w:r>
        <w:rPr>
          <w:rFonts w:hint="eastAsia" w:ascii="仿宋" w:hAnsi="仿宋" w:eastAsia="仿宋" w:cs="仿宋"/>
          <w:b w:val="0"/>
          <w:bCs/>
          <w:sz w:val="32"/>
          <w:szCs w:val="32"/>
          <w:lang w:val="en-US" w:eastAsia="zh-CN"/>
        </w:rPr>
        <w:t>许昌市明礼街与魏武大道交叉口东北角。</w:t>
      </w:r>
    </w:p>
    <w:p>
      <w:pPr>
        <w:keepNext w:val="0"/>
        <w:keepLines w:val="0"/>
        <w:pageBreakBefore w:val="0"/>
        <w:widowControl/>
        <w:kinsoku/>
        <w:wordWrap/>
        <w:overflowPunct/>
        <w:topLinePunct w:val="0"/>
        <w:autoSpaceDE/>
        <w:autoSpaceDN/>
        <w:bidi w:val="0"/>
        <w:snapToGrid/>
        <w:spacing w:beforeAutospacing="0" w:afterAutospacing="0" w:line="560" w:lineRule="exact"/>
        <w:ind w:left="0" w:leftChars="0"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（三）本次评标采用“低价中标”原则，企业综合实力得分＜80分的，不参与低价评选，若出现报价相同的，采购人会通知投标人二次报价。具体评分细则详见附件1。</w:t>
      </w:r>
    </w:p>
    <w:p>
      <w:pPr>
        <w:keepNext w:val="0"/>
        <w:keepLines w:val="0"/>
        <w:pageBreakBefore w:val="0"/>
        <w:widowControl/>
        <w:kinsoku/>
        <w:wordWrap/>
        <w:overflowPunct/>
        <w:topLinePunct w:val="0"/>
        <w:autoSpaceDE/>
        <w:autoSpaceDN/>
        <w:bidi w:val="0"/>
        <w:snapToGrid/>
        <w:spacing w:beforeAutospacing="0" w:afterAutospacing="0" w:line="560" w:lineRule="exact"/>
        <w:ind w:left="0" w:leftChars="0"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评标期间，投标人保持响应文件提供的联系方式畅通，评标小组随时可能对响应文件内容质询，投标人应及时进行答复（包括但不限于电子文档、电子邮件等）。若由于投标人原因导致评标小组无法电话取得联系的，视为该投标人自动放弃投标资格。</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lang w:val="en-US" w:eastAsia="zh-CN"/>
        </w:rPr>
        <w:t>响应</w:t>
      </w:r>
      <w:r>
        <w:rPr>
          <w:rFonts w:hint="eastAsia" w:ascii="黑体" w:hAnsi="黑体" w:eastAsia="黑体" w:cs="黑体"/>
          <w:b w:val="0"/>
          <w:bCs/>
          <w:sz w:val="32"/>
          <w:szCs w:val="32"/>
          <w:lang w:eastAsia="zh-CN"/>
        </w:rPr>
        <w:t>文件组成</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sz w:val="32"/>
          <w:szCs w:val="32"/>
          <w:lang w:val="en-US" w:eastAsia="zh-CN"/>
        </w:rPr>
        <w:t>详见附件2，响应文件要装订并密封，密封处加盖公司公章，一式3份。不</w:t>
      </w:r>
      <w:r>
        <w:rPr>
          <w:rFonts w:hint="eastAsia" w:ascii="仿宋" w:hAnsi="仿宋" w:eastAsia="仿宋" w:cs="仿宋"/>
          <w:b w:val="0"/>
          <w:bCs/>
          <w:sz w:val="32"/>
          <w:szCs w:val="32"/>
          <w:lang w:val="en-US" w:eastAsia="zh-CN"/>
        </w:rPr>
        <w:t>按照附件要求提交资料或者缺少的，为无效投标，投标人提供的响应文件等相关资料概不退还。</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五、其他事宜</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询价</w:t>
      </w:r>
      <w:r>
        <w:rPr>
          <w:rFonts w:hint="eastAsia" w:ascii="仿宋" w:hAnsi="仿宋" w:eastAsia="仿宋" w:cs="仿宋"/>
          <w:b w:val="0"/>
          <w:bCs/>
          <w:sz w:val="32"/>
          <w:szCs w:val="32"/>
          <w:lang w:eastAsia="zh-CN"/>
        </w:rPr>
        <w:t>公告发布方式：本次</w:t>
      </w:r>
      <w:r>
        <w:rPr>
          <w:rFonts w:hint="eastAsia" w:ascii="仿宋" w:hAnsi="仿宋" w:eastAsia="仿宋" w:cs="仿宋"/>
          <w:b w:val="0"/>
          <w:bCs/>
          <w:sz w:val="32"/>
          <w:szCs w:val="32"/>
          <w:lang w:val="en-US" w:eastAsia="zh-CN"/>
        </w:rPr>
        <w:t>询价</w:t>
      </w:r>
      <w:r>
        <w:rPr>
          <w:rFonts w:hint="eastAsia" w:ascii="仿宋" w:hAnsi="仿宋" w:eastAsia="仿宋" w:cs="仿宋"/>
          <w:b w:val="0"/>
          <w:bCs/>
          <w:sz w:val="32"/>
          <w:szCs w:val="32"/>
          <w:lang w:eastAsia="zh-CN"/>
        </w:rPr>
        <w:t>公告在许昌市投资集团有限公司网站（http://www.xcstzzgs.cn/）</w:t>
      </w:r>
      <w:r>
        <w:rPr>
          <w:rFonts w:hint="eastAsia" w:ascii="仿宋" w:hAnsi="仿宋" w:eastAsia="仿宋" w:cs="仿宋"/>
          <w:b w:val="0"/>
          <w:bCs/>
          <w:sz w:val="32"/>
          <w:szCs w:val="32"/>
          <w:lang w:val="en-US" w:eastAsia="zh-CN"/>
        </w:rPr>
        <w:t>发布，公告期限为3个工作日。</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询价</w:t>
      </w:r>
      <w:r>
        <w:rPr>
          <w:rFonts w:hint="eastAsia" w:ascii="仿宋" w:hAnsi="仿宋" w:eastAsia="仿宋" w:cs="仿宋"/>
          <w:b w:val="0"/>
          <w:bCs/>
          <w:sz w:val="32"/>
          <w:szCs w:val="32"/>
          <w:lang w:eastAsia="zh-CN"/>
        </w:rPr>
        <w:t>文件获取：</w:t>
      </w:r>
      <w:r>
        <w:rPr>
          <w:rFonts w:hint="eastAsia" w:ascii="仿宋" w:hAnsi="仿宋" w:eastAsia="仿宋" w:cs="仿宋"/>
          <w:b w:val="0"/>
          <w:bCs/>
          <w:sz w:val="32"/>
          <w:szCs w:val="32"/>
          <w:lang w:val="en-US" w:eastAsia="zh-CN"/>
        </w:rPr>
        <w:t>询价</w:t>
      </w:r>
      <w:r>
        <w:rPr>
          <w:rFonts w:hint="eastAsia" w:ascii="仿宋" w:hAnsi="仿宋" w:eastAsia="仿宋" w:cs="仿宋"/>
          <w:b w:val="0"/>
          <w:bCs/>
          <w:sz w:val="32"/>
          <w:szCs w:val="32"/>
          <w:lang w:eastAsia="zh-CN"/>
        </w:rPr>
        <w:t>文件请到许昌市投资集团有限公司网站（http://www.xcstzzgs.cn/）下载。</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w:t>
      </w:r>
      <w:r>
        <w:rPr>
          <w:rFonts w:hint="eastAsia" w:ascii="仿宋" w:hAnsi="仿宋" w:eastAsia="仿宋" w:cs="仿宋"/>
          <w:sz w:val="32"/>
          <w:szCs w:val="32"/>
          <w:lang w:val="en-US" w:eastAsia="zh-CN"/>
        </w:rPr>
        <w:t>资料提交方式及截止日期：现场递交，不接受邮寄，资料提交截止时间：2024年2月2日9：00，</w:t>
      </w:r>
      <w:r>
        <w:rPr>
          <w:rFonts w:hint="eastAsia" w:ascii="仿宋" w:hAnsi="仿宋" w:eastAsia="仿宋" w:cs="仿宋"/>
          <w:b w:val="0"/>
          <w:bCs/>
          <w:sz w:val="32"/>
          <w:szCs w:val="32"/>
          <w:lang w:val="en-US" w:eastAsia="zh-CN"/>
        </w:rPr>
        <w:t>超出此时间提交的响应文件视为废标。投标截止时间</w:t>
      </w:r>
      <w:r>
        <w:rPr>
          <w:rFonts w:hint="eastAsia" w:ascii="仿宋" w:hAnsi="仿宋" w:eastAsia="仿宋" w:cs="仿宋"/>
          <w:sz w:val="32"/>
          <w:szCs w:val="32"/>
          <w:lang w:val="en-US" w:eastAsia="zh-CN"/>
        </w:rPr>
        <w:t>投标人少于3家的流标。</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四</w:t>
      </w:r>
      <w:r>
        <w:rPr>
          <w:rFonts w:hint="eastAsia" w:ascii="仿宋" w:hAnsi="仿宋" w:eastAsia="仿宋" w:cs="仿宋"/>
          <w:b w:val="0"/>
          <w:bCs/>
          <w:sz w:val="32"/>
          <w:szCs w:val="32"/>
          <w:lang w:eastAsia="zh-CN"/>
        </w:rPr>
        <w:t>）资料提交地点：许昌市</w:t>
      </w:r>
      <w:r>
        <w:rPr>
          <w:rFonts w:hint="eastAsia" w:ascii="仿宋" w:hAnsi="仿宋" w:eastAsia="仿宋" w:cs="仿宋"/>
          <w:b w:val="0"/>
          <w:bCs/>
          <w:sz w:val="32"/>
          <w:szCs w:val="32"/>
          <w:lang w:val="en-US" w:eastAsia="zh-CN"/>
        </w:rPr>
        <w:t>老年大学11楼1108</w:t>
      </w:r>
      <w:r>
        <w:rPr>
          <w:rFonts w:hint="eastAsia" w:ascii="仿宋" w:hAnsi="仿宋" w:eastAsia="仿宋" w:cs="仿宋"/>
          <w:b w:val="0"/>
          <w:bCs/>
          <w:sz w:val="32"/>
          <w:szCs w:val="32"/>
          <w:lang w:eastAsia="zh-CN"/>
        </w:rPr>
        <w:t>室，</w:t>
      </w:r>
      <w:r>
        <w:rPr>
          <w:rFonts w:hint="eastAsia" w:ascii="仿宋" w:hAnsi="仿宋" w:eastAsia="仿宋" w:cs="仿宋"/>
          <w:b w:val="0"/>
          <w:bCs/>
          <w:sz w:val="32"/>
          <w:szCs w:val="32"/>
          <w:lang w:val="en-US" w:eastAsia="zh-CN"/>
        </w:rPr>
        <w:t>许昌市均都路与建安大道交叉口东北角</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采购人不组织踏勘现场，投标人可自行组织。</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（六）联系方式：李先生  0374-2960311。</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3840" w:firstLineChars="1200"/>
        <w:jc w:val="left"/>
        <w:textAlignment w:val="auto"/>
        <w:outlineLvl w:val="9"/>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 xml:space="preserve">   许昌市投资集团有限公司</w:t>
      </w:r>
    </w:p>
    <w:p>
      <w:pPr>
        <w:keepNext w:val="0"/>
        <w:keepLines w:val="0"/>
        <w:pageBreakBefore w:val="0"/>
        <w:widowControl w:val="0"/>
        <w:kinsoku/>
        <w:wordWrap/>
        <w:overflowPunct/>
        <w:topLinePunct w:val="0"/>
        <w:autoSpaceDE/>
        <w:autoSpaceDN/>
        <w:bidi w:val="0"/>
        <w:snapToGrid w:val="0"/>
        <w:spacing w:beforeAutospacing="0" w:afterAutospacing="0" w:line="560" w:lineRule="exact"/>
        <w:ind w:left="-178" w:leftChars="-85" w:firstLine="640" w:firstLineChars="200"/>
        <w:jc w:val="left"/>
        <w:textAlignment w:val="auto"/>
        <w:outlineLvl w:val="9"/>
        <w:rPr>
          <w:rFonts w:hint="default"/>
          <w:lang w:val="en-US" w:eastAsia="zh-CN"/>
        </w:rPr>
      </w:pPr>
      <w:r>
        <w:rPr>
          <w:rFonts w:hint="eastAsia" w:ascii="仿宋" w:hAnsi="仿宋" w:eastAsia="仿宋" w:cs="仿宋"/>
          <w:b w:val="0"/>
          <w:bCs/>
          <w:sz w:val="32"/>
          <w:szCs w:val="32"/>
          <w:lang w:val="en-US" w:eastAsia="zh-CN"/>
        </w:rPr>
        <w:t xml:space="preserve">                          2024年1月29日</w:t>
      </w:r>
    </w:p>
    <w:p>
      <w:pPr>
        <w:keepNext w:val="0"/>
        <w:keepLines w:val="0"/>
        <w:pageBreakBefore w:val="0"/>
        <w:kinsoku/>
        <w:wordWrap/>
        <w:overflowPunct/>
        <w:topLinePunct w:val="0"/>
        <w:autoSpaceDE w:val="0"/>
        <w:autoSpaceDN w:val="0"/>
        <w:bidi w:val="0"/>
        <w:adjustRightInd w:val="0"/>
        <w:spacing w:line="560" w:lineRule="exact"/>
        <w:jc w:val="left"/>
        <w:rPr>
          <w:rFonts w:hint="eastAsia"/>
          <w:sz w:val="28"/>
          <w:szCs w:val="28"/>
          <w:lang w:val="en-US" w:eastAsia="zh-CN"/>
        </w:rPr>
      </w:pPr>
      <w:r>
        <w:rPr>
          <w:rFonts w:hint="eastAsia"/>
          <w:sz w:val="28"/>
          <w:szCs w:val="28"/>
          <w:lang w:val="en-US" w:eastAsia="zh-CN"/>
        </w:rPr>
        <w:t>附件1：评分细则</w:t>
      </w:r>
    </w:p>
    <w:tbl>
      <w:tblPr>
        <w:tblStyle w:val="12"/>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7" w:hRule="atLeast"/>
          <w:jc w:val="center"/>
        </w:trPr>
        <w:tc>
          <w:tcPr>
            <w:tcW w:w="1228" w:type="dxa"/>
            <w:vMerge w:val="restart"/>
            <w:vAlign w:val="center"/>
          </w:tcPr>
          <w:p>
            <w:pPr>
              <w:keepNext w:val="0"/>
              <w:keepLines w:val="0"/>
              <w:pageBreakBefore w:val="0"/>
              <w:widowControl/>
              <w:kinsoku/>
              <w:wordWrap/>
              <w:overflowPunct/>
              <w:topLinePunct w:val="0"/>
              <w:bidi w:val="0"/>
              <w:spacing w:line="560" w:lineRule="exact"/>
              <w:jc w:val="center"/>
              <w:rPr>
                <w:rFonts w:hint="eastAsia"/>
              </w:rPr>
            </w:pPr>
            <w:r>
              <w:rPr>
                <w:rFonts w:hint="eastAsia"/>
                <w:lang w:val="en-US" w:eastAsia="zh-CN"/>
              </w:rPr>
              <w:t>企业综合实力</w:t>
            </w:r>
            <w:r>
              <w:rPr>
                <w:rFonts w:hint="eastAsia"/>
              </w:rPr>
              <w:t>（</w:t>
            </w:r>
            <w:r>
              <w:rPr>
                <w:rFonts w:hint="eastAsia"/>
                <w:lang w:val="en-US" w:eastAsia="zh-CN"/>
              </w:rPr>
              <w:t>100</w:t>
            </w:r>
            <w:r>
              <w:rPr>
                <w:rFonts w:hint="eastAsia"/>
              </w:rPr>
              <w:t>分）</w:t>
            </w:r>
          </w:p>
          <w:p>
            <w:pPr>
              <w:pStyle w:val="10"/>
              <w:keepNext w:val="0"/>
              <w:keepLines w:val="0"/>
              <w:pageBreakBefore w:val="0"/>
              <w:kinsoku/>
              <w:wordWrap/>
              <w:overflowPunct/>
              <w:topLinePunct w:val="0"/>
              <w:bidi w:val="0"/>
              <w:spacing w:line="560" w:lineRule="exact"/>
            </w:pPr>
          </w:p>
        </w:tc>
        <w:tc>
          <w:tcPr>
            <w:tcW w:w="1353" w:type="dxa"/>
            <w:vAlign w:val="center"/>
          </w:tcPr>
          <w:p>
            <w:pPr>
              <w:keepNext w:val="0"/>
              <w:keepLines w:val="0"/>
              <w:pageBreakBefore w:val="0"/>
              <w:widowControl/>
              <w:kinsoku/>
              <w:wordWrap/>
              <w:overflowPunct/>
              <w:topLinePunct w:val="0"/>
              <w:bidi w:val="0"/>
              <w:spacing w:line="560" w:lineRule="exact"/>
              <w:jc w:val="left"/>
              <w:rPr>
                <w:rFonts w:ascii="宋体" w:hAnsi="宋体"/>
                <w:kern w:val="0"/>
                <w:sz w:val="21"/>
                <w:szCs w:val="21"/>
              </w:rPr>
            </w:pPr>
            <w:r>
              <w:rPr>
                <w:rFonts w:hint="eastAsia" w:ascii="宋体" w:hAnsi="宋体"/>
                <w:kern w:val="0"/>
                <w:sz w:val="21"/>
                <w:szCs w:val="21"/>
                <w:lang w:val="en-US" w:eastAsia="zh-CN"/>
              </w:rPr>
              <w:t>测绘方案</w:t>
            </w:r>
            <w:r>
              <w:rPr>
                <w:rFonts w:hint="eastAsia" w:ascii="宋体" w:hAnsi="宋体"/>
                <w:kern w:val="0"/>
                <w:sz w:val="21"/>
                <w:szCs w:val="21"/>
              </w:rPr>
              <w:t>（</w:t>
            </w:r>
            <w:r>
              <w:rPr>
                <w:rFonts w:hint="eastAsia" w:ascii="宋体" w:hAnsi="宋体"/>
                <w:kern w:val="0"/>
                <w:sz w:val="21"/>
                <w:szCs w:val="21"/>
                <w:lang w:val="en-US" w:eastAsia="zh-CN"/>
              </w:rPr>
              <w:t>40</w:t>
            </w:r>
            <w:r>
              <w:rPr>
                <w:rFonts w:hint="eastAsia" w:ascii="宋体" w:hAnsi="宋体"/>
                <w:kern w:val="0"/>
                <w:sz w:val="21"/>
                <w:szCs w:val="21"/>
              </w:rPr>
              <w:t>分）</w:t>
            </w:r>
          </w:p>
        </w:tc>
        <w:tc>
          <w:tcPr>
            <w:tcW w:w="7197" w:type="dxa"/>
            <w:vAlign w:val="center"/>
          </w:tcPr>
          <w:p>
            <w:pPr>
              <w:keepNext w:val="0"/>
              <w:keepLines w:val="0"/>
              <w:pageBreakBefore w:val="0"/>
              <w:widowControl/>
              <w:kinsoku/>
              <w:wordWrap/>
              <w:overflowPunct/>
              <w:topLinePunct w:val="0"/>
              <w:bidi w:val="0"/>
              <w:spacing w:line="560" w:lineRule="exact"/>
              <w:jc w:val="left"/>
              <w:rPr>
                <w:rFonts w:hint="eastAsia" w:ascii="宋体" w:hAnsi="宋体" w:eastAsia="宋体" w:cs="宋体"/>
                <w:szCs w:val="21"/>
                <w:lang w:val="en-US" w:eastAsia="zh-CN"/>
              </w:rPr>
            </w:pPr>
            <w:r>
              <w:rPr>
                <w:rFonts w:hint="eastAsia" w:ascii="宋体" w:hAnsi="宋体" w:eastAsia="宋体" w:cs="宋体"/>
                <w:szCs w:val="21"/>
                <w:lang w:val="en-US" w:eastAsia="zh-CN"/>
              </w:rPr>
              <w:t>投标人针对本项目出具测绘方案，方案包含</w:t>
            </w:r>
            <w:r>
              <w:rPr>
                <w:rFonts w:hint="eastAsia" w:ascii="宋体" w:hAnsi="宋体" w:eastAsia="宋体" w:cs="宋体"/>
                <w:szCs w:val="21"/>
              </w:rPr>
              <w:t>项目组织机构科学合理</w:t>
            </w:r>
            <w:r>
              <w:rPr>
                <w:rFonts w:hint="eastAsia" w:ascii="宋体" w:hAnsi="宋体" w:eastAsia="宋体" w:cs="宋体"/>
                <w:szCs w:val="21"/>
                <w:lang w:val="en-US" w:eastAsia="zh-CN"/>
              </w:rPr>
              <w:t>性、人员配置及设备安排、</w:t>
            </w:r>
            <w:r>
              <w:rPr>
                <w:rFonts w:hint="eastAsia" w:ascii="宋体" w:hAnsi="宋体" w:eastAsia="宋体" w:cs="宋体"/>
                <w:szCs w:val="21"/>
              </w:rPr>
              <w:t>项目工作进度安排</w:t>
            </w:r>
            <w:r>
              <w:rPr>
                <w:rFonts w:hint="eastAsia" w:ascii="宋体" w:hAnsi="宋体" w:eastAsia="宋体" w:cs="宋体"/>
                <w:szCs w:val="21"/>
                <w:lang w:val="en-US" w:eastAsia="zh-CN"/>
              </w:rPr>
              <w:t>及</w:t>
            </w:r>
            <w:r>
              <w:rPr>
                <w:rFonts w:hint="eastAsia" w:ascii="宋体" w:hAnsi="宋体" w:eastAsia="宋体" w:cs="宋体"/>
                <w:szCs w:val="21"/>
              </w:rPr>
              <w:t>工作流程</w:t>
            </w:r>
            <w:r>
              <w:rPr>
                <w:rFonts w:hint="eastAsia" w:ascii="宋体" w:hAnsi="宋体" w:eastAsia="宋体" w:cs="宋体"/>
                <w:szCs w:val="21"/>
                <w:lang w:eastAsia="zh-CN"/>
              </w:rPr>
              <w:t>、</w:t>
            </w:r>
            <w:r>
              <w:rPr>
                <w:rFonts w:hint="eastAsia" w:ascii="宋体" w:hAnsi="宋体" w:eastAsia="宋体" w:cs="宋体"/>
                <w:szCs w:val="21"/>
              </w:rPr>
              <w:t>项目实施技术措施</w:t>
            </w:r>
            <w:r>
              <w:rPr>
                <w:rFonts w:hint="eastAsia" w:ascii="宋体" w:hAnsi="宋体" w:eastAsia="宋体" w:cs="宋体"/>
                <w:szCs w:val="21"/>
                <w:lang w:eastAsia="zh-CN"/>
              </w:rPr>
              <w:t>、</w:t>
            </w:r>
            <w:r>
              <w:rPr>
                <w:rFonts w:hint="eastAsia" w:ascii="宋体" w:hAnsi="宋体" w:eastAsia="宋体" w:cs="宋体"/>
                <w:szCs w:val="21"/>
              </w:rPr>
              <w:t>确保服务质量的技术和组织实施合理性</w:t>
            </w:r>
            <w:r>
              <w:rPr>
                <w:rFonts w:hint="eastAsia" w:ascii="宋体" w:hAnsi="宋体" w:eastAsia="宋体" w:cs="宋体"/>
                <w:szCs w:val="21"/>
                <w:lang w:eastAsia="zh-CN"/>
              </w:rPr>
              <w:t>、</w:t>
            </w:r>
            <w:r>
              <w:rPr>
                <w:rFonts w:hint="eastAsia" w:ascii="宋体" w:hAnsi="宋体" w:eastAsia="宋体" w:cs="宋体"/>
                <w:szCs w:val="21"/>
              </w:rPr>
              <w:t>确保服务期限和组织措施合理性</w:t>
            </w:r>
            <w:r>
              <w:rPr>
                <w:rFonts w:hint="eastAsia" w:ascii="宋体" w:hAnsi="宋体" w:eastAsia="宋体" w:cs="宋体"/>
                <w:szCs w:val="21"/>
                <w:lang w:eastAsia="zh-CN"/>
              </w:rPr>
              <w:t>、</w:t>
            </w:r>
            <w:r>
              <w:rPr>
                <w:rFonts w:hint="eastAsia" w:ascii="宋体" w:hAnsi="宋体" w:eastAsia="宋体" w:cs="宋体"/>
                <w:szCs w:val="21"/>
              </w:rPr>
              <w:t>实施难点及关键过程分析</w:t>
            </w:r>
            <w:r>
              <w:rPr>
                <w:rFonts w:hint="eastAsia" w:ascii="宋体" w:hAnsi="宋体" w:eastAsia="宋体" w:cs="宋体"/>
                <w:szCs w:val="21"/>
                <w:lang w:eastAsia="zh-CN"/>
              </w:rPr>
              <w:t>、</w:t>
            </w:r>
            <w:r>
              <w:rPr>
                <w:rFonts w:hint="eastAsia" w:ascii="宋体" w:hAnsi="宋体" w:eastAsia="宋体" w:cs="宋体"/>
                <w:szCs w:val="21"/>
              </w:rPr>
              <w:t>质量保证体系的完整和可行性</w:t>
            </w:r>
            <w:r>
              <w:rPr>
                <w:rFonts w:hint="eastAsia" w:ascii="宋体" w:hAnsi="宋体" w:eastAsia="宋体" w:cs="宋体"/>
                <w:szCs w:val="21"/>
                <w:lang w:val="en-US" w:eastAsia="zh-CN"/>
              </w:rPr>
              <w:t>等方面。</w:t>
            </w:r>
          </w:p>
          <w:p>
            <w:pPr>
              <w:keepNext w:val="0"/>
              <w:keepLines w:val="0"/>
              <w:pageBreakBefore w:val="0"/>
              <w:widowControl/>
              <w:kinsoku/>
              <w:wordWrap/>
              <w:overflowPunct/>
              <w:topLinePunct w:val="0"/>
              <w:bidi w:val="0"/>
              <w:spacing w:line="560" w:lineRule="exact"/>
              <w:jc w:val="left"/>
              <w:rPr>
                <w:rFonts w:hint="default" w:ascii="宋体" w:hAnsi="宋体" w:eastAsiaTheme="minorEastAsia"/>
                <w:kern w:val="0"/>
                <w:sz w:val="21"/>
                <w:szCs w:val="21"/>
                <w:lang w:val="en-US" w:eastAsia="zh-CN"/>
              </w:rPr>
            </w:pPr>
            <w:r>
              <w:rPr>
                <w:rFonts w:hint="eastAsia" w:ascii="宋体" w:hAnsi="宋体" w:eastAsia="宋体" w:cs="宋体"/>
                <w:szCs w:val="21"/>
                <w:lang w:val="en-US" w:eastAsia="zh-CN"/>
              </w:rPr>
              <w:t>备注：40≥优的方案</w:t>
            </w:r>
            <w:r>
              <w:rPr>
                <w:rFonts w:hint="eastAsia" w:ascii="宋体" w:hAnsi="宋体"/>
                <w:kern w:val="0"/>
                <w:sz w:val="21"/>
                <w:szCs w:val="21"/>
                <w:lang w:val="en-US" w:eastAsia="zh-CN"/>
              </w:rPr>
              <w:t>得分≥20，20＞良的方案得分≥10，10分＞一般的方案得分＞0分。具体档次由评标小组成员根据响应文件中的测绘方案编制情况综合评判。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228" w:type="dxa"/>
            <w:vMerge w:val="continue"/>
            <w:vAlign w:val="center"/>
          </w:tcPr>
          <w:p>
            <w:pPr>
              <w:keepNext w:val="0"/>
              <w:keepLines w:val="0"/>
              <w:pageBreakBefore w:val="0"/>
              <w:widowControl/>
              <w:kinsoku/>
              <w:wordWrap/>
              <w:overflowPunct/>
              <w:topLinePunct w:val="0"/>
              <w:bidi w:val="0"/>
              <w:spacing w:line="560" w:lineRule="exact"/>
              <w:jc w:val="center"/>
              <w:rPr>
                <w:rFonts w:ascii="宋体" w:hAnsi="宋体"/>
                <w:kern w:val="0"/>
                <w:sz w:val="21"/>
                <w:szCs w:val="21"/>
              </w:rPr>
            </w:pPr>
          </w:p>
        </w:tc>
        <w:tc>
          <w:tcPr>
            <w:tcW w:w="1353" w:type="dxa"/>
            <w:vAlign w:val="center"/>
          </w:tcPr>
          <w:p>
            <w:pPr>
              <w:keepNext w:val="0"/>
              <w:keepLines w:val="0"/>
              <w:pageBreakBefore w:val="0"/>
              <w:widowControl/>
              <w:kinsoku/>
              <w:wordWrap/>
              <w:overflowPunct/>
              <w:topLinePunct w:val="0"/>
              <w:bidi w:val="0"/>
              <w:spacing w:line="560" w:lineRule="exact"/>
              <w:jc w:val="left"/>
              <w:rPr>
                <w:rFonts w:ascii="宋体" w:hAnsi="宋体"/>
                <w:kern w:val="0"/>
                <w:sz w:val="21"/>
                <w:szCs w:val="21"/>
              </w:rPr>
            </w:pPr>
            <w:r>
              <w:rPr>
                <w:rFonts w:hint="eastAsia" w:ascii="宋体" w:hAnsi="宋体"/>
                <w:kern w:val="0"/>
                <w:sz w:val="21"/>
                <w:szCs w:val="21"/>
                <w:lang w:val="en-US" w:eastAsia="zh-CN"/>
              </w:rPr>
              <w:t>企业业绩</w:t>
            </w:r>
            <w:r>
              <w:rPr>
                <w:rFonts w:hint="eastAsia" w:ascii="宋体" w:hAnsi="宋体"/>
                <w:kern w:val="0"/>
                <w:sz w:val="21"/>
                <w:szCs w:val="21"/>
              </w:rPr>
              <w:t>（</w:t>
            </w:r>
            <w:r>
              <w:rPr>
                <w:rFonts w:hint="eastAsia" w:ascii="宋体" w:hAnsi="宋体"/>
                <w:kern w:val="0"/>
                <w:sz w:val="21"/>
                <w:szCs w:val="21"/>
                <w:lang w:val="en-US" w:eastAsia="zh-CN"/>
              </w:rPr>
              <w:t>50</w:t>
            </w:r>
            <w:r>
              <w:rPr>
                <w:rFonts w:hint="eastAsia" w:ascii="宋体" w:hAnsi="宋体"/>
                <w:kern w:val="0"/>
                <w:sz w:val="21"/>
                <w:szCs w:val="21"/>
              </w:rPr>
              <w:t>分）</w:t>
            </w:r>
          </w:p>
        </w:tc>
        <w:tc>
          <w:tcPr>
            <w:tcW w:w="7197" w:type="dxa"/>
            <w:vAlign w:val="center"/>
          </w:tcPr>
          <w:p>
            <w:pPr>
              <w:keepNext w:val="0"/>
              <w:keepLines w:val="0"/>
              <w:pageBreakBefore w:val="0"/>
              <w:widowControl/>
              <w:kinsoku/>
              <w:wordWrap/>
              <w:overflowPunct/>
              <w:topLinePunct w:val="0"/>
              <w:bidi w:val="0"/>
              <w:spacing w:line="560" w:lineRule="exact"/>
              <w:jc w:val="left"/>
              <w:rPr>
                <w:rFonts w:hint="default" w:ascii="宋体" w:hAnsi="宋体"/>
                <w:kern w:val="0"/>
                <w:sz w:val="21"/>
                <w:szCs w:val="21"/>
                <w:lang w:val="en-US"/>
              </w:rPr>
            </w:pPr>
            <w:r>
              <w:rPr>
                <w:rFonts w:hint="eastAsia" w:ascii="宋体" w:hAnsi="宋体"/>
                <w:kern w:val="0"/>
                <w:sz w:val="21"/>
                <w:szCs w:val="21"/>
                <w:lang w:val="en-US" w:eastAsia="zh-CN"/>
              </w:rPr>
              <w:t>自2021年1月1日以来，</w:t>
            </w:r>
            <w:r>
              <w:rPr>
                <w:rFonts w:hint="eastAsia" w:ascii="宋体" w:hAnsi="宋体"/>
                <w:kern w:val="0"/>
                <w:sz w:val="21"/>
                <w:szCs w:val="21"/>
              </w:rPr>
              <w:t>投标人</w:t>
            </w:r>
            <w:r>
              <w:rPr>
                <w:rFonts w:hint="eastAsia" w:ascii="宋体" w:hAnsi="宋体" w:eastAsia="宋体" w:cs="宋体"/>
                <w:color w:val="000000"/>
                <w:kern w:val="0"/>
                <w:sz w:val="21"/>
                <w:szCs w:val="21"/>
                <w:lang w:val="en-US" w:eastAsia="zh-CN"/>
              </w:rPr>
              <w:t>承接过类似不动产测绘项目的，一个得25分，最高50分。</w:t>
            </w:r>
            <w:r>
              <w:rPr>
                <w:rFonts w:hint="eastAsia" w:ascii="宋体" w:hAnsi="宋体"/>
                <w:kern w:val="0"/>
                <w:sz w:val="21"/>
                <w:szCs w:val="21"/>
                <w:lang w:val="en-US" w:eastAsia="zh-CN"/>
              </w:rPr>
              <w:t>类似不动产测绘项目指单个不动产测绘项目合同额不低于20万元，须提供签订合同复印件加盖公章作为证明材料。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1228" w:type="dxa"/>
            <w:vMerge w:val="continue"/>
            <w:vAlign w:val="center"/>
          </w:tcPr>
          <w:p>
            <w:pPr>
              <w:keepNext w:val="0"/>
              <w:keepLines w:val="0"/>
              <w:pageBreakBefore w:val="0"/>
              <w:widowControl/>
              <w:kinsoku/>
              <w:wordWrap/>
              <w:overflowPunct/>
              <w:topLinePunct w:val="0"/>
              <w:bidi w:val="0"/>
              <w:spacing w:line="560" w:lineRule="exact"/>
              <w:jc w:val="center"/>
              <w:rPr>
                <w:rFonts w:ascii="宋体" w:hAnsi="宋体"/>
                <w:kern w:val="0"/>
                <w:sz w:val="21"/>
                <w:szCs w:val="21"/>
              </w:rPr>
            </w:pPr>
          </w:p>
        </w:tc>
        <w:tc>
          <w:tcPr>
            <w:tcW w:w="1353" w:type="dxa"/>
            <w:vAlign w:val="center"/>
          </w:tcPr>
          <w:p>
            <w:pPr>
              <w:keepNext w:val="0"/>
              <w:keepLines w:val="0"/>
              <w:pageBreakBefore w:val="0"/>
              <w:widowControl/>
              <w:kinsoku/>
              <w:wordWrap/>
              <w:overflowPunct/>
              <w:topLinePunct w:val="0"/>
              <w:bidi w:val="0"/>
              <w:spacing w:line="560" w:lineRule="exact"/>
              <w:jc w:val="left"/>
              <w:rPr>
                <w:rFonts w:hint="default" w:ascii="宋体" w:hAnsi="宋体"/>
                <w:kern w:val="0"/>
                <w:sz w:val="21"/>
                <w:szCs w:val="21"/>
                <w:u w:val="single"/>
                <w:lang w:val="en-US" w:eastAsia="zh-CN"/>
              </w:rPr>
            </w:pPr>
            <w:r>
              <w:rPr>
                <w:rFonts w:hint="eastAsia" w:ascii="宋体" w:hAnsi="宋体"/>
                <w:kern w:val="0"/>
                <w:sz w:val="21"/>
                <w:szCs w:val="21"/>
                <w:u w:val="none"/>
                <w:lang w:val="en-US" w:eastAsia="zh-CN"/>
              </w:rPr>
              <w:t>团队成员（10分）</w:t>
            </w:r>
          </w:p>
        </w:tc>
        <w:tc>
          <w:tcPr>
            <w:tcW w:w="7197" w:type="dxa"/>
            <w:vAlign w:val="center"/>
          </w:tcPr>
          <w:p>
            <w:pPr>
              <w:keepNext w:val="0"/>
              <w:keepLines w:val="0"/>
              <w:pageBreakBefore w:val="0"/>
              <w:widowControl/>
              <w:kinsoku/>
              <w:wordWrap/>
              <w:overflowPunct/>
              <w:topLinePunct w:val="0"/>
              <w:bidi w:val="0"/>
              <w:spacing w:line="560" w:lineRule="exact"/>
              <w:jc w:val="left"/>
              <w:rPr>
                <w:rFonts w:hint="default" w:ascii="宋体" w:hAnsi="宋体"/>
                <w:kern w:val="0"/>
                <w:sz w:val="21"/>
                <w:szCs w:val="21"/>
                <w:u w:val="single"/>
                <w:lang w:val="en-US" w:eastAsia="zh-CN"/>
              </w:rPr>
            </w:pPr>
            <w:r>
              <w:rPr>
                <w:rFonts w:hint="eastAsia" w:ascii="宋体" w:hAnsi="宋体" w:cs="Times New Roman"/>
                <w:kern w:val="0"/>
                <w:sz w:val="21"/>
                <w:szCs w:val="21"/>
                <w:lang w:val="en-US" w:eastAsia="zh-CN"/>
              </w:rPr>
              <w:t>投标人拟派负责人具有测绘专业工程师及以上职称的，得10分，没有不得分。须提供职称复印件加盖公司公章作为证明材料。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2581" w:type="dxa"/>
            <w:gridSpan w:val="2"/>
            <w:vAlign w:val="center"/>
          </w:tcPr>
          <w:p>
            <w:pPr>
              <w:keepNext w:val="0"/>
              <w:keepLines w:val="0"/>
              <w:pageBreakBefore w:val="0"/>
              <w:widowControl/>
              <w:kinsoku/>
              <w:wordWrap/>
              <w:overflowPunct/>
              <w:topLinePunct w:val="0"/>
              <w:bidi w:val="0"/>
              <w:spacing w:line="560" w:lineRule="exact"/>
              <w:jc w:val="center"/>
              <w:rPr>
                <w:rFonts w:hint="default" w:ascii="宋体" w:hAnsi="宋体" w:eastAsiaTheme="minorEastAsia"/>
                <w:kern w:val="0"/>
                <w:sz w:val="21"/>
                <w:szCs w:val="21"/>
                <w:lang w:val="en-US" w:eastAsia="zh-CN"/>
              </w:rPr>
            </w:pPr>
            <w:r>
              <w:rPr>
                <w:rFonts w:hint="eastAsia" w:ascii="宋体" w:hAnsi="宋体" w:eastAsiaTheme="minorEastAsia"/>
                <w:kern w:val="0"/>
                <w:sz w:val="21"/>
                <w:szCs w:val="21"/>
                <w:lang w:val="en-US" w:eastAsia="zh-CN"/>
              </w:rPr>
              <w:t>最终得分</w:t>
            </w:r>
          </w:p>
        </w:tc>
        <w:tc>
          <w:tcPr>
            <w:tcW w:w="7197" w:type="dxa"/>
          </w:tcPr>
          <w:p>
            <w:pPr>
              <w:keepNext w:val="0"/>
              <w:keepLines w:val="0"/>
              <w:pageBreakBefore w:val="0"/>
              <w:widowControl/>
              <w:kinsoku/>
              <w:wordWrap/>
              <w:overflowPunct/>
              <w:topLinePunct w:val="0"/>
              <w:bidi w:val="0"/>
              <w:spacing w:line="560" w:lineRule="exact"/>
              <w:rPr>
                <w:rFonts w:hint="eastAsia"/>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778" w:type="dxa"/>
            <w:gridSpan w:val="3"/>
            <w:vAlign w:val="center"/>
          </w:tcPr>
          <w:p>
            <w:pPr>
              <w:keepNext w:val="0"/>
              <w:keepLines w:val="0"/>
              <w:pageBreakBefore w:val="0"/>
              <w:widowControl/>
              <w:kinsoku/>
              <w:wordWrap/>
              <w:overflowPunct/>
              <w:topLinePunct w:val="0"/>
              <w:bidi w:val="0"/>
              <w:spacing w:line="560" w:lineRule="exact"/>
              <w:jc w:val="left"/>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pPr>
        <w:pStyle w:val="10"/>
        <w:keepNext w:val="0"/>
        <w:keepLines w:val="0"/>
        <w:pageBreakBefore w:val="0"/>
        <w:kinsoku/>
        <w:wordWrap/>
        <w:overflowPunct/>
        <w:topLinePunct w:val="0"/>
        <w:bidi w:val="0"/>
        <w:spacing w:line="560" w:lineRule="exact"/>
        <w:rPr>
          <w:rFonts w:hint="eastAsia"/>
          <w:sz w:val="28"/>
          <w:szCs w:val="28"/>
          <w:lang w:val="en-US" w:eastAsia="zh-CN"/>
        </w:rPr>
      </w:pPr>
    </w:p>
    <w:p>
      <w:pPr>
        <w:pStyle w:val="11"/>
        <w:keepNext w:val="0"/>
        <w:keepLines w:val="0"/>
        <w:pageBreakBefore w:val="0"/>
        <w:kinsoku/>
        <w:wordWrap/>
        <w:overflowPunct/>
        <w:topLinePunct w:val="0"/>
        <w:bidi w:val="0"/>
        <w:spacing w:line="560" w:lineRule="exact"/>
        <w:rPr>
          <w:rFonts w:hint="eastAsia"/>
          <w:sz w:val="28"/>
          <w:szCs w:val="28"/>
          <w:lang w:val="en-US" w:eastAsia="zh-CN"/>
        </w:rPr>
      </w:pPr>
    </w:p>
    <w:p>
      <w:pPr>
        <w:pStyle w:val="11"/>
        <w:keepNext w:val="0"/>
        <w:keepLines w:val="0"/>
        <w:pageBreakBefore w:val="0"/>
        <w:kinsoku/>
        <w:wordWrap/>
        <w:overflowPunct/>
        <w:topLinePunct w:val="0"/>
        <w:bidi w:val="0"/>
        <w:spacing w:line="560" w:lineRule="exact"/>
        <w:rPr>
          <w:rFonts w:hint="eastAsia"/>
          <w:sz w:val="28"/>
          <w:szCs w:val="28"/>
          <w:lang w:val="en-US" w:eastAsia="zh-CN"/>
        </w:rPr>
      </w:pPr>
    </w:p>
    <w:p>
      <w:pPr>
        <w:pStyle w:val="11"/>
        <w:keepNext w:val="0"/>
        <w:keepLines w:val="0"/>
        <w:pageBreakBefore w:val="0"/>
        <w:kinsoku/>
        <w:wordWrap/>
        <w:overflowPunct/>
        <w:topLinePunct w:val="0"/>
        <w:bidi w:val="0"/>
        <w:spacing w:line="560" w:lineRule="exact"/>
        <w:rPr>
          <w:rFonts w:hint="eastAsia"/>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附件2：响应文件格式</w:t>
      </w:r>
    </w:p>
    <w:p>
      <w:pPr>
        <w:keepNext w:val="0"/>
        <w:keepLines w:val="0"/>
        <w:pageBreakBefore w:val="0"/>
        <w:kinsoku/>
        <w:wordWrap/>
        <w:overflowPunct/>
        <w:topLinePunct w:val="0"/>
        <w:autoSpaceDE w:val="0"/>
        <w:autoSpaceDN w:val="0"/>
        <w:bidi w:val="0"/>
        <w:adjustRightInd w:val="0"/>
        <w:spacing w:line="560" w:lineRule="exact"/>
        <w:rPr>
          <w:rFonts w:cs="宋体" w:asciiTheme="majorEastAsia" w:hAnsiTheme="majorEastAsia" w:eastAsiaTheme="majorEastAsia"/>
          <w:b/>
          <w:kern w:val="0"/>
          <w:sz w:val="36"/>
          <w:szCs w:val="36"/>
        </w:rPr>
      </w:pPr>
    </w:p>
    <w:p>
      <w:pPr>
        <w:keepNext w:val="0"/>
        <w:keepLines w:val="0"/>
        <w:pageBreakBefore w:val="0"/>
        <w:kinsoku/>
        <w:wordWrap/>
        <w:overflowPunct/>
        <w:topLinePunct w:val="0"/>
        <w:bidi w:val="0"/>
        <w:spacing w:line="560" w:lineRule="exact"/>
        <w:jc w:val="left"/>
        <w:rPr>
          <w:rStyle w:val="28"/>
          <w:rFonts w:ascii="宋体" w:hAnsi="宋体"/>
        </w:rPr>
      </w:pPr>
    </w:p>
    <w:p>
      <w:pPr>
        <w:keepNext w:val="0"/>
        <w:keepLines w:val="0"/>
        <w:pageBreakBefore w:val="0"/>
        <w:kinsoku/>
        <w:wordWrap/>
        <w:overflowPunct/>
        <w:topLinePunct w:val="0"/>
        <w:bidi w:val="0"/>
        <w:spacing w:line="560" w:lineRule="exact"/>
        <w:rPr>
          <w:rFonts w:ascii="宋体" w:hAnsi="宋体" w:cs="微软雅黑"/>
          <w:sz w:val="28"/>
          <w:szCs w:val="28"/>
          <w:u w:val="single"/>
        </w:rPr>
      </w:pPr>
    </w:p>
    <w:p>
      <w:pPr>
        <w:keepNext w:val="0"/>
        <w:keepLines w:val="0"/>
        <w:pageBreakBefore w:val="0"/>
        <w:kinsoku/>
        <w:wordWrap/>
        <w:overflowPunct/>
        <w:topLinePunct w:val="0"/>
        <w:bidi w:val="0"/>
        <w:spacing w:line="560" w:lineRule="exact"/>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keepNext w:val="0"/>
        <w:keepLines w:val="0"/>
        <w:pageBreakBefore w:val="0"/>
        <w:kinsoku/>
        <w:wordWrap/>
        <w:overflowPunct/>
        <w:topLinePunct w:val="0"/>
        <w:bidi w:val="0"/>
        <w:spacing w:line="560" w:lineRule="exact"/>
        <w:jc w:val="center"/>
        <w:rPr>
          <w:rFonts w:ascii="宋体" w:hAnsi="宋体" w:cs="微软雅黑"/>
          <w:sz w:val="28"/>
          <w:szCs w:val="28"/>
          <w:u w:val="single"/>
        </w:rPr>
      </w:pPr>
    </w:p>
    <w:p>
      <w:pPr>
        <w:keepNext w:val="0"/>
        <w:keepLines w:val="0"/>
        <w:pageBreakBefore w:val="0"/>
        <w:kinsoku/>
        <w:wordWrap/>
        <w:overflowPunct/>
        <w:topLinePunct w:val="0"/>
        <w:bidi w:val="0"/>
        <w:spacing w:line="560" w:lineRule="exact"/>
        <w:rPr>
          <w:rFonts w:ascii="宋体" w:hAnsi="宋体" w:cs="微软雅黑"/>
          <w:sz w:val="20"/>
          <w:szCs w:val="20"/>
        </w:rPr>
      </w:pPr>
    </w:p>
    <w:p>
      <w:pPr>
        <w:keepNext w:val="0"/>
        <w:keepLines w:val="0"/>
        <w:pageBreakBefore w:val="0"/>
        <w:kinsoku/>
        <w:wordWrap/>
        <w:overflowPunct/>
        <w:topLinePunct w:val="0"/>
        <w:bidi w:val="0"/>
        <w:spacing w:line="560" w:lineRule="exact"/>
        <w:rPr>
          <w:rFonts w:ascii="宋体" w:hAnsi="宋体" w:cs="微软雅黑"/>
          <w:sz w:val="20"/>
          <w:szCs w:val="20"/>
        </w:rPr>
      </w:pPr>
    </w:p>
    <w:p>
      <w:pPr>
        <w:keepNext w:val="0"/>
        <w:keepLines w:val="0"/>
        <w:pageBreakBefore w:val="0"/>
        <w:kinsoku/>
        <w:wordWrap/>
        <w:overflowPunct/>
        <w:topLinePunct w:val="0"/>
        <w:bidi w:val="0"/>
        <w:spacing w:line="560" w:lineRule="exact"/>
        <w:jc w:val="center"/>
        <w:rPr>
          <w:rFonts w:ascii="宋体" w:hAnsi="宋体" w:cs="微软雅黑"/>
          <w:sz w:val="72"/>
          <w:szCs w:val="72"/>
        </w:rPr>
      </w:pPr>
      <w:r>
        <w:rPr>
          <w:rFonts w:hint="eastAsia" w:ascii="宋体" w:hAnsi="宋体" w:cs="微软雅黑"/>
          <w:sz w:val="72"/>
          <w:szCs w:val="72"/>
        </w:rPr>
        <w:t>询价响应文件</w:t>
      </w:r>
    </w:p>
    <w:p>
      <w:pPr>
        <w:keepNext w:val="0"/>
        <w:keepLines w:val="0"/>
        <w:pageBreakBefore w:val="0"/>
        <w:kinsoku/>
        <w:wordWrap/>
        <w:overflowPunct/>
        <w:topLinePunct w:val="0"/>
        <w:bidi w:val="0"/>
        <w:spacing w:line="560" w:lineRule="exact"/>
        <w:rPr>
          <w:rFonts w:ascii="宋体" w:hAnsi="宋体" w:cs="微软雅黑"/>
          <w:sz w:val="28"/>
          <w:szCs w:val="28"/>
        </w:rPr>
      </w:pPr>
    </w:p>
    <w:p>
      <w:pPr>
        <w:keepNext w:val="0"/>
        <w:keepLines w:val="0"/>
        <w:pageBreakBefore w:val="0"/>
        <w:kinsoku/>
        <w:wordWrap/>
        <w:overflowPunct/>
        <w:topLinePunct w:val="0"/>
        <w:bidi w:val="0"/>
        <w:spacing w:line="560" w:lineRule="exact"/>
        <w:rPr>
          <w:rFonts w:ascii="宋体" w:hAnsi="宋体" w:cs="微软雅黑"/>
          <w:sz w:val="28"/>
          <w:szCs w:val="28"/>
        </w:rPr>
      </w:pPr>
    </w:p>
    <w:p>
      <w:pPr>
        <w:keepNext w:val="0"/>
        <w:keepLines w:val="0"/>
        <w:pageBreakBefore w:val="0"/>
        <w:kinsoku/>
        <w:wordWrap/>
        <w:overflowPunct/>
        <w:topLinePunct w:val="0"/>
        <w:bidi w:val="0"/>
        <w:spacing w:line="560" w:lineRule="exact"/>
        <w:rPr>
          <w:rFonts w:ascii="宋体" w:hAnsi="宋体" w:cs="微软雅黑"/>
          <w:sz w:val="28"/>
          <w:szCs w:val="28"/>
        </w:rPr>
      </w:pPr>
    </w:p>
    <w:p>
      <w:pPr>
        <w:pStyle w:val="10"/>
        <w:keepNext w:val="0"/>
        <w:keepLines w:val="0"/>
        <w:pageBreakBefore w:val="0"/>
        <w:kinsoku/>
        <w:wordWrap/>
        <w:overflowPunct/>
        <w:topLinePunct w:val="0"/>
        <w:bidi w:val="0"/>
        <w:spacing w:line="560" w:lineRule="exact"/>
        <w:ind w:firstLine="0" w:firstLineChars="0"/>
        <w:rPr>
          <w:rFonts w:hAnsi="宋体" w:cs="微软雅黑"/>
          <w:szCs w:val="28"/>
        </w:rPr>
      </w:pPr>
    </w:p>
    <w:p>
      <w:pPr>
        <w:pStyle w:val="10"/>
        <w:keepNext w:val="0"/>
        <w:keepLines w:val="0"/>
        <w:pageBreakBefore w:val="0"/>
        <w:kinsoku/>
        <w:wordWrap/>
        <w:overflowPunct/>
        <w:topLinePunct w:val="0"/>
        <w:bidi w:val="0"/>
        <w:spacing w:line="560" w:lineRule="exact"/>
        <w:ind w:firstLine="340"/>
        <w:rPr>
          <w:rFonts w:hAnsi="宋体" w:cs="微软雅黑"/>
          <w:szCs w:val="28"/>
        </w:rPr>
      </w:pPr>
    </w:p>
    <w:p>
      <w:pPr>
        <w:pStyle w:val="11"/>
        <w:keepNext w:val="0"/>
        <w:keepLines w:val="0"/>
        <w:pageBreakBefore w:val="0"/>
        <w:kinsoku/>
        <w:wordWrap/>
        <w:overflowPunct/>
        <w:topLinePunct w:val="0"/>
        <w:bidi w:val="0"/>
        <w:spacing w:line="560" w:lineRule="exact"/>
        <w:rPr>
          <w:rFonts w:hAnsi="宋体" w:cs="微软雅黑"/>
          <w:szCs w:val="28"/>
        </w:rPr>
      </w:pPr>
    </w:p>
    <w:p>
      <w:pPr>
        <w:pStyle w:val="11"/>
        <w:keepNext w:val="0"/>
        <w:keepLines w:val="0"/>
        <w:pageBreakBefore w:val="0"/>
        <w:kinsoku/>
        <w:wordWrap/>
        <w:overflowPunct/>
        <w:topLinePunct w:val="0"/>
        <w:bidi w:val="0"/>
        <w:spacing w:line="560" w:lineRule="exact"/>
        <w:rPr>
          <w:rFonts w:hAnsi="宋体" w:cs="微软雅黑"/>
          <w:szCs w:val="28"/>
        </w:rPr>
      </w:pPr>
    </w:p>
    <w:p>
      <w:pPr>
        <w:pStyle w:val="11"/>
        <w:keepNext w:val="0"/>
        <w:keepLines w:val="0"/>
        <w:pageBreakBefore w:val="0"/>
        <w:kinsoku/>
        <w:wordWrap/>
        <w:overflowPunct/>
        <w:topLinePunct w:val="0"/>
        <w:bidi w:val="0"/>
        <w:spacing w:line="560" w:lineRule="exact"/>
        <w:rPr>
          <w:rFonts w:hAnsi="宋体" w:cs="微软雅黑"/>
          <w:szCs w:val="28"/>
        </w:rPr>
      </w:pPr>
    </w:p>
    <w:p>
      <w:pPr>
        <w:pStyle w:val="11"/>
        <w:keepNext w:val="0"/>
        <w:keepLines w:val="0"/>
        <w:pageBreakBefore w:val="0"/>
        <w:kinsoku/>
        <w:wordWrap/>
        <w:overflowPunct/>
        <w:topLinePunct w:val="0"/>
        <w:bidi w:val="0"/>
        <w:spacing w:line="560" w:lineRule="exact"/>
        <w:rPr>
          <w:rFonts w:hAnsi="宋体" w:cs="微软雅黑"/>
          <w:szCs w:val="28"/>
        </w:rPr>
      </w:pPr>
    </w:p>
    <w:p>
      <w:pPr>
        <w:keepNext w:val="0"/>
        <w:keepLines w:val="0"/>
        <w:pageBreakBefore w:val="0"/>
        <w:kinsoku/>
        <w:wordWrap/>
        <w:overflowPunct/>
        <w:topLinePunct w:val="0"/>
        <w:bidi w:val="0"/>
        <w:spacing w:line="560" w:lineRule="exact"/>
        <w:jc w:val="left"/>
        <w:rPr>
          <w:rFonts w:ascii="宋体" w:hAnsi="宋体" w:cs="微软雅黑"/>
          <w:sz w:val="28"/>
          <w:szCs w:val="28"/>
          <w:u w:val="single"/>
        </w:rPr>
      </w:pPr>
      <w:r>
        <w:rPr>
          <w:rFonts w:hint="eastAsia" w:ascii="宋体" w:hAnsi="宋体" w:cs="微软雅黑"/>
          <w:sz w:val="28"/>
          <w:szCs w:val="28"/>
        </w:rPr>
        <w:t>响应人：（盖单位章）</w:t>
      </w:r>
    </w:p>
    <w:p>
      <w:pPr>
        <w:keepNext w:val="0"/>
        <w:keepLines w:val="0"/>
        <w:pageBreakBefore w:val="0"/>
        <w:kinsoku/>
        <w:wordWrap/>
        <w:overflowPunct/>
        <w:topLinePunct w:val="0"/>
        <w:bidi w:val="0"/>
        <w:spacing w:line="560" w:lineRule="exact"/>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0"/>
        <w:keepNext w:val="0"/>
        <w:keepLines w:val="0"/>
        <w:pageBreakBefore w:val="0"/>
        <w:kinsoku/>
        <w:wordWrap/>
        <w:overflowPunct/>
        <w:topLinePunct w:val="0"/>
        <w:bidi w:val="0"/>
        <w:spacing w:line="560" w:lineRule="exact"/>
        <w:ind w:left="0" w:leftChars="0" w:firstLine="0" w:firstLineChars="0"/>
        <w:rPr>
          <w:rFonts w:hint="default"/>
          <w:lang w:val="en-US" w:eastAsia="zh-CN"/>
        </w:rPr>
      </w:pPr>
    </w:p>
    <w:p>
      <w:pPr>
        <w:keepNext w:val="0"/>
        <w:keepLines w:val="0"/>
        <w:pageBreakBefore w:val="0"/>
        <w:kinsoku/>
        <w:wordWrap/>
        <w:overflowPunct/>
        <w:topLinePunct w:val="0"/>
        <w:bidi w:val="0"/>
        <w:spacing w:line="560" w:lineRule="exact"/>
        <w:rPr>
          <w:rFonts w:hint="default"/>
          <w:lang w:val="en-US" w:eastAsia="zh-CN"/>
        </w:rPr>
      </w:pPr>
    </w:p>
    <w:p>
      <w:pPr>
        <w:pStyle w:val="8"/>
        <w:keepNext w:val="0"/>
        <w:keepLines w:val="0"/>
        <w:pageBreakBefore w:val="0"/>
        <w:kinsoku/>
        <w:wordWrap/>
        <w:overflowPunct/>
        <w:topLinePunct w:val="0"/>
        <w:bidi w:val="0"/>
        <w:spacing w:line="560" w:lineRule="exact"/>
        <w:ind w:firstLine="2811" w:firstLineChars="1000"/>
        <w:rPr>
          <w:rFonts w:hint="eastAsia" w:asciiTheme="majorEastAsia" w:hAnsiTheme="majorEastAsia" w:eastAsiaTheme="majorEastAsia"/>
          <w:b/>
          <w:snapToGrid w:val="0"/>
          <w:kern w:val="0"/>
          <w:sz w:val="28"/>
          <w:szCs w:val="28"/>
          <w:lang w:val="en-US" w:eastAsia="zh-CN"/>
        </w:rPr>
      </w:pPr>
    </w:p>
    <w:p>
      <w:pPr>
        <w:pStyle w:val="8"/>
        <w:keepNext w:val="0"/>
        <w:keepLines w:val="0"/>
        <w:pageBreakBefore w:val="0"/>
        <w:kinsoku/>
        <w:wordWrap/>
        <w:overflowPunct/>
        <w:topLinePunct w:val="0"/>
        <w:bidi w:val="0"/>
        <w:spacing w:line="560" w:lineRule="exact"/>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keepNext w:val="0"/>
        <w:keepLines w:val="0"/>
        <w:pageBreakBefore w:val="0"/>
        <w:kinsoku/>
        <w:wordWrap/>
        <w:overflowPunct/>
        <w:topLinePunct w:val="0"/>
        <w:bidi w:val="0"/>
        <w:spacing w:line="560" w:lineRule="exact"/>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2"/>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1200" w:firstLineChars="500"/>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_______元/m2</w:t>
            </w:r>
          </w:p>
        </w:tc>
        <w:tc>
          <w:tcPr>
            <w:tcW w:w="1843"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firstLine="240"/>
              <w:rPr>
                <w:rFonts w:cs="宋体" w:asciiTheme="minorEastAsia" w:hAnsiTheme="minorEastAsia"/>
                <w:sz w:val="24"/>
                <w:szCs w:val="24"/>
                <w:lang w:val="zh-CN"/>
              </w:rPr>
            </w:pPr>
          </w:p>
        </w:tc>
      </w:tr>
    </w:tbl>
    <w:p>
      <w:pPr>
        <w:keepNext w:val="0"/>
        <w:keepLines w:val="0"/>
        <w:pageBreakBefore w:val="0"/>
        <w:kinsoku/>
        <w:wordWrap/>
        <w:overflowPunct/>
        <w:topLinePunct w:val="0"/>
        <w:autoSpaceDE w:val="0"/>
        <w:autoSpaceDN w:val="0"/>
        <w:bidi w:val="0"/>
        <w:adjustRightInd w:val="0"/>
        <w:spacing w:line="560" w:lineRule="exact"/>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keepNext w:val="0"/>
        <w:keepLines w:val="0"/>
        <w:pageBreakBefore w:val="0"/>
        <w:kinsoku/>
        <w:wordWrap/>
        <w:overflowPunct/>
        <w:topLinePunct w:val="0"/>
        <w:autoSpaceDE w:val="0"/>
        <w:autoSpaceDN w:val="0"/>
        <w:bidi w:val="0"/>
        <w:adjustRightInd w:val="0"/>
        <w:spacing w:line="560" w:lineRule="exact"/>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keepNext w:val="0"/>
        <w:keepLines w:val="0"/>
        <w:pageBreakBefore w:val="0"/>
        <w:kinsoku/>
        <w:wordWrap/>
        <w:overflowPunct/>
        <w:topLinePunct w:val="0"/>
        <w:autoSpaceDE w:val="0"/>
        <w:autoSpaceDN w:val="0"/>
        <w:bidi w:val="0"/>
        <w:adjustRightInd w:val="0"/>
        <w:spacing w:line="560" w:lineRule="exact"/>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keepNext w:val="0"/>
        <w:keepLines w:val="0"/>
        <w:pageBreakBefore w:val="0"/>
        <w:kinsoku/>
        <w:wordWrap/>
        <w:overflowPunct/>
        <w:topLinePunct w:val="0"/>
        <w:autoSpaceDE w:val="0"/>
        <w:autoSpaceDN w:val="0"/>
        <w:bidi w:val="0"/>
        <w:adjustRightInd w:val="0"/>
        <w:spacing w:line="560" w:lineRule="exact"/>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r>
        <w:rPr>
          <w:rFonts w:hint="eastAsia" w:cs="宋体" w:asciiTheme="minorEastAsia" w:hAnsiTheme="minorEastAsia"/>
          <w:sz w:val="24"/>
          <w:szCs w:val="24"/>
          <w:lang w:val="en-US" w:eastAsia="zh-CN"/>
        </w:rPr>
        <w:t>与项目概况的服务周期一致</w:t>
      </w:r>
      <w:r>
        <w:rPr>
          <w:rFonts w:hint="eastAsia" w:cs="宋体" w:asciiTheme="minorEastAsia" w:hAnsiTheme="minorEastAsia"/>
          <w:sz w:val="24"/>
          <w:szCs w:val="24"/>
          <w:lang w:val="zh-CN"/>
        </w:rPr>
        <w:t>。</w:t>
      </w:r>
    </w:p>
    <w:p>
      <w:pPr>
        <w:keepNext w:val="0"/>
        <w:keepLines w:val="0"/>
        <w:pageBreakBefore w:val="0"/>
        <w:kinsoku/>
        <w:wordWrap/>
        <w:overflowPunct/>
        <w:topLinePunct w:val="0"/>
        <w:autoSpaceDE w:val="0"/>
        <w:autoSpaceDN w:val="0"/>
        <w:bidi w:val="0"/>
        <w:adjustRightInd w:val="0"/>
        <w:spacing w:line="560" w:lineRule="exact"/>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7"/>
        <w:keepNext w:val="0"/>
        <w:keepLines w:val="0"/>
        <w:pageBreakBefore w:val="0"/>
        <w:kinsoku/>
        <w:wordWrap/>
        <w:overflowPunct/>
        <w:topLinePunct w:val="0"/>
        <w:bidi w:val="0"/>
        <w:spacing w:line="560" w:lineRule="exact"/>
        <w:rPr>
          <w:rFonts w:hint="default"/>
          <w:lang w:val="en-US" w:eastAsia="zh-CN"/>
        </w:rPr>
      </w:pPr>
    </w:p>
    <w:p>
      <w:pPr>
        <w:keepNext w:val="0"/>
        <w:keepLines w:val="0"/>
        <w:pageBreakBefore w:val="0"/>
        <w:kinsoku/>
        <w:wordWrap/>
        <w:overflowPunct/>
        <w:topLinePunct w:val="0"/>
        <w:bidi w:val="0"/>
        <w:spacing w:line="560" w:lineRule="exact"/>
        <w:rPr>
          <w:rFonts w:hint="default"/>
          <w:lang w:val="en-US" w:eastAsia="zh-CN"/>
        </w:rPr>
      </w:pPr>
    </w:p>
    <w:p>
      <w:pPr>
        <w:pStyle w:val="10"/>
        <w:keepNext w:val="0"/>
        <w:keepLines w:val="0"/>
        <w:pageBreakBefore w:val="0"/>
        <w:kinsoku/>
        <w:wordWrap/>
        <w:overflowPunct/>
        <w:topLinePunct w:val="0"/>
        <w:bidi w:val="0"/>
        <w:spacing w:line="560" w:lineRule="exact"/>
        <w:rPr>
          <w:rFonts w:hint="eastAsia"/>
          <w:lang w:eastAsia="zh-CN"/>
        </w:rPr>
      </w:pPr>
    </w:p>
    <w:p>
      <w:pPr>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pStyle w:val="27"/>
        <w:keepNext w:val="0"/>
        <w:keepLines w:val="0"/>
        <w:pageBreakBefore w:val="0"/>
        <w:kinsoku/>
        <w:wordWrap/>
        <w:overflowPunct/>
        <w:topLinePunct w:val="0"/>
        <w:bidi w:val="0"/>
        <w:spacing w:line="560" w:lineRule="exact"/>
        <w:rPr>
          <w:rFonts w:hint="eastAsia"/>
          <w:lang w:eastAsia="zh-CN"/>
        </w:rPr>
      </w:pPr>
    </w:p>
    <w:p>
      <w:pPr>
        <w:keepNext w:val="0"/>
        <w:keepLines w:val="0"/>
        <w:pageBreakBefore w:val="0"/>
        <w:kinsoku/>
        <w:wordWrap/>
        <w:overflowPunct/>
        <w:topLinePunct w:val="0"/>
        <w:bidi w:val="0"/>
        <w:spacing w:line="56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hint="eastAsia" w:asciiTheme="minorEastAsia" w:hAnsiTheme="minorEastAsia"/>
          <w:szCs w:val="24"/>
        </w:rPr>
        <w:t>地址：</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9"/>
        <w:keepNext w:val="0"/>
        <w:keepLines w:val="0"/>
        <w:pageBreakBefore w:val="0"/>
        <w:kinsoku/>
        <w:wordWrap/>
        <w:overflowPunct/>
        <w:topLinePunct w:val="0"/>
        <w:bidi w:val="0"/>
        <w:spacing w:line="560" w:lineRule="exact"/>
        <w:ind w:firstLine="540" w:firstLineChars="225"/>
        <w:jc w:val="left"/>
        <w:rPr>
          <w:rFonts w:asciiTheme="minorEastAsia" w:hAnsiTheme="minorEastAsia"/>
          <w:szCs w:val="24"/>
        </w:rPr>
      </w:pPr>
    </w:p>
    <w:p>
      <w:pPr>
        <w:pStyle w:val="29"/>
        <w:keepNext w:val="0"/>
        <w:keepLines w:val="0"/>
        <w:pageBreakBefore w:val="0"/>
        <w:kinsoku/>
        <w:wordWrap/>
        <w:overflowPunct/>
        <w:topLinePunct w:val="0"/>
        <w:bidi w:val="0"/>
        <w:spacing w:line="560" w:lineRule="exact"/>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9"/>
        <w:keepNext w:val="0"/>
        <w:keepLines w:val="0"/>
        <w:pageBreakBefore w:val="0"/>
        <w:kinsoku/>
        <w:wordWrap/>
        <w:overflowPunct/>
        <w:topLinePunct w:val="0"/>
        <w:bidi w:val="0"/>
        <w:spacing w:line="560" w:lineRule="exact"/>
        <w:ind w:left="-538" w:leftChars="-256" w:firstLine="616" w:firstLineChars="257"/>
        <w:jc w:val="center"/>
        <w:rPr>
          <w:rFonts w:asciiTheme="minorEastAsia" w:hAnsiTheme="minorEastAsia"/>
          <w:bCs/>
          <w:szCs w:val="24"/>
        </w:rPr>
      </w:pPr>
    </w:p>
    <w:p>
      <w:pPr>
        <w:keepNext w:val="0"/>
        <w:keepLines w:val="0"/>
        <w:pageBreakBefore w:val="0"/>
        <w:kinsoku/>
        <w:wordWrap/>
        <w:overflowPunct/>
        <w:topLinePunct w:val="0"/>
        <w:autoSpaceDE w:val="0"/>
        <w:autoSpaceDN w:val="0"/>
        <w:bidi w:val="0"/>
        <w:adjustRightInd w:val="0"/>
        <w:spacing w:line="560" w:lineRule="exact"/>
        <w:ind w:right="-11"/>
        <w:rPr>
          <w:rFonts w:cs="宋体" w:asciiTheme="minorEastAsia" w:hAnsiTheme="minorEastAsia"/>
          <w:sz w:val="24"/>
          <w:szCs w:val="24"/>
          <w:lang w:val="zh-CN"/>
        </w:rPr>
      </w:pPr>
    </w:p>
    <w:p>
      <w:pPr>
        <w:keepNext w:val="0"/>
        <w:keepLines w:val="0"/>
        <w:pageBreakBefore w:val="0"/>
        <w:kinsoku/>
        <w:wordWrap/>
        <w:overflowPunct/>
        <w:topLinePunct w:val="0"/>
        <w:autoSpaceDE w:val="0"/>
        <w:autoSpaceDN w:val="0"/>
        <w:bidi w:val="0"/>
        <w:adjustRightInd w:val="0"/>
        <w:spacing w:line="560" w:lineRule="exact"/>
        <w:ind w:right="-11"/>
        <w:rPr>
          <w:rFonts w:cs="宋体" w:asciiTheme="minorEastAsia" w:hAnsiTheme="minorEastAsia"/>
          <w:sz w:val="24"/>
          <w:szCs w:val="24"/>
          <w:lang w:val="zh-CN"/>
        </w:rPr>
      </w:pPr>
    </w:p>
    <w:p>
      <w:pPr>
        <w:keepNext w:val="0"/>
        <w:keepLines w:val="0"/>
        <w:pageBreakBefore w:val="0"/>
        <w:kinsoku/>
        <w:wordWrap/>
        <w:overflowPunct/>
        <w:topLinePunct w:val="0"/>
        <w:autoSpaceDE w:val="0"/>
        <w:autoSpaceDN w:val="0"/>
        <w:bidi w:val="0"/>
        <w:adjustRightInd w:val="0"/>
        <w:spacing w:line="560" w:lineRule="exact"/>
        <w:ind w:right="-11"/>
        <w:rPr>
          <w:rFonts w:cs="宋体" w:asciiTheme="minorEastAsia" w:hAnsiTheme="minorEastAsia"/>
          <w:sz w:val="24"/>
          <w:szCs w:val="24"/>
          <w:lang w:val="zh-CN"/>
        </w:rPr>
      </w:pPr>
    </w:p>
    <w:p>
      <w:pPr>
        <w:keepNext w:val="0"/>
        <w:keepLines w:val="0"/>
        <w:pageBreakBefore w:val="0"/>
        <w:kinsoku/>
        <w:wordWrap/>
        <w:overflowPunct/>
        <w:topLinePunct w:val="0"/>
        <w:bidi w:val="0"/>
        <w:spacing w:line="560" w:lineRule="exact"/>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30"/>
        <w:keepNext w:val="0"/>
        <w:keepLines w:val="0"/>
        <w:pageBreakBefore w:val="0"/>
        <w:kinsoku/>
        <w:wordWrap/>
        <w:overflowPunct/>
        <w:topLinePunct w:val="0"/>
        <w:bidi w:val="0"/>
        <w:spacing w:before="60" w:line="560" w:lineRule="exact"/>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1"/>
        <w:keepNext w:val="0"/>
        <w:keepLines w:val="0"/>
        <w:pageBreakBefore w:val="0"/>
        <w:kinsoku/>
        <w:wordWrap/>
        <w:overflowPunct/>
        <w:topLinePunct w:val="0"/>
        <w:bidi w:val="0"/>
        <w:spacing w:line="560" w:lineRule="exact"/>
        <w:rPr>
          <w:rFonts w:cs="Arial" w:asciiTheme="minorEastAsia" w:hAnsiTheme="minorEastAsia"/>
          <w:sz w:val="21"/>
          <w:szCs w:val="21"/>
        </w:rPr>
      </w:pPr>
    </w:p>
    <w:p>
      <w:pPr>
        <w:keepNext w:val="0"/>
        <w:keepLines w:val="0"/>
        <w:pageBreakBefore w:val="0"/>
        <w:kinsoku/>
        <w:wordWrap/>
        <w:overflowPunct/>
        <w:topLinePunct w:val="0"/>
        <w:bidi w:val="0"/>
        <w:spacing w:line="560" w:lineRule="exact"/>
        <w:ind w:firstLine="2289" w:firstLineChars="950"/>
        <w:rPr>
          <w:rFonts w:ascii="宋体" w:hAnsi="宋体"/>
          <w:b/>
          <w:bCs/>
          <w:sz w:val="24"/>
          <w:szCs w:val="24"/>
        </w:rPr>
      </w:pPr>
    </w:p>
    <w:p>
      <w:pPr>
        <w:keepNext w:val="0"/>
        <w:keepLines w:val="0"/>
        <w:pageBreakBefore w:val="0"/>
        <w:kinsoku/>
        <w:wordWrap/>
        <w:overflowPunct/>
        <w:topLinePunct w:val="0"/>
        <w:bidi w:val="0"/>
        <w:spacing w:line="560" w:lineRule="exact"/>
        <w:rPr>
          <w:rFonts w:ascii="宋体" w:hAnsi="宋体"/>
          <w:b/>
          <w:bCs/>
          <w:sz w:val="24"/>
          <w:szCs w:val="24"/>
        </w:rPr>
      </w:pPr>
      <w:r>
        <w:rPr>
          <w:rFonts w:hint="eastAsia" w:ascii="宋体" w:hAnsi="宋体"/>
          <w:b/>
          <w:bCs/>
          <w:sz w:val="24"/>
          <w:szCs w:val="24"/>
        </w:rPr>
        <w:br w:type="page"/>
      </w:r>
    </w:p>
    <w:p>
      <w:pPr>
        <w:keepNext w:val="0"/>
        <w:keepLines w:val="0"/>
        <w:pageBreakBefore w:val="0"/>
        <w:kinsoku/>
        <w:wordWrap/>
        <w:overflowPunct/>
        <w:topLinePunct w:val="0"/>
        <w:bidi w:val="0"/>
        <w:spacing w:line="56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keepNext w:val="0"/>
        <w:keepLines w:val="0"/>
        <w:pageBreakBefore w:val="0"/>
        <w:kinsoku/>
        <w:wordWrap/>
        <w:overflowPunct/>
        <w:topLinePunct w:val="0"/>
        <w:bidi w:val="0"/>
        <w:adjustRightInd w:val="0"/>
        <w:spacing w:line="560" w:lineRule="exact"/>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keepNext w:val="0"/>
        <w:keepLines w:val="0"/>
        <w:pageBreakBefore w:val="0"/>
        <w:kinsoku/>
        <w:wordWrap/>
        <w:overflowPunct/>
        <w:topLinePunct w:val="0"/>
        <w:bidi w:val="0"/>
        <w:adjustRightInd w:val="0"/>
        <w:spacing w:line="560" w:lineRule="exact"/>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keepNext w:val="0"/>
        <w:keepLines w:val="0"/>
        <w:pageBreakBefore w:val="0"/>
        <w:kinsoku/>
        <w:wordWrap/>
        <w:overflowPunct/>
        <w:topLinePunct w:val="0"/>
        <w:bidi w:val="0"/>
        <w:adjustRightInd w:val="0"/>
        <w:spacing w:line="560" w:lineRule="exact"/>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keepNext w:val="0"/>
        <w:keepLines w:val="0"/>
        <w:pageBreakBefore w:val="0"/>
        <w:kinsoku/>
        <w:wordWrap/>
        <w:overflowPunct/>
        <w:topLinePunct w:val="0"/>
        <w:bidi w:val="0"/>
        <w:adjustRightInd w:val="0"/>
        <w:spacing w:line="560" w:lineRule="exact"/>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keepNext w:val="0"/>
        <w:keepLines w:val="0"/>
        <w:pageBreakBefore w:val="0"/>
        <w:kinsoku/>
        <w:wordWrap/>
        <w:overflowPunct/>
        <w:topLinePunct w:val="0"/>
        <w:bidi w:val="0"/>
        <w:spacing w:line="560" w:lineRule="exact"/>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keepNext w:val="0"/>
        <w:keepLines w:val="0"/>
        <w:pageBreakBefore w:val="0"/>
        <w:kinsoku/>
        <w:wordWrap/>
        <w:overflowPunct/>
        <w:topLinePunct w:val="0"/>
        <w:bidi w:val="0"/>
        <w:spacing w:line="56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keepNext w:val="0"/>
        <w:keepLines w:val="0"/>
        <w:pageBreakBefore w:val="0"/>
        <w:kinsoku/>
        <w:wordWrap/>
        <w:overflowPunct/>
        <w:topLinePunct w:val="0"/>
        <w:bidi w:val="0"/>
        <w:spacing w:line="560" w:lineRule="exact"/>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2"/>
        <w:keepNext w:val="0"/>
        <w:keepLines w:val="0"/>
        <w:pageBreakBefore w:val="0"/>
        <w:kinsoku/>
        <w:wordWrap/>
        <w:overflowPunct/>
        <w:topLinePunct w:val="0"/>
        <w:bidi w:val="0"/>
        <w:spacing w:line="560" w:lineRule="exact"/>
        <w:ind w:firstLine="480" w:firstLineChars="200"/>
        <w:rPr>
          <w:rFonts w:hint="eastAsia"/>
        </w:rPr>
      </w:pPr>
      <w:r>
        <w:rPr>
          <w:rFonts w:hint="eastAsia" w:hAnsi="Times New Roman"/>
          <w:szCs w:val="21"/>
        </w:rPr>
        <w:t>法定代表人（单位负责人）授权代表联系电话（手机）：</w:t>
      </w:r>
    </w:p>
    <w:tbl>
      <w:tblPr>
        <w:tblStyle w:val="12"/>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keepNext w:val="0"/>
              <w:keepLines w:val="0"/>
              <w:pageBreakBefore w:val="0"/>
              <w:kinsoku/>
              <w:wordWrap/>
              <w:overflowPunct/>
              <w:topLinePunct w:val="0"/>
              <w:bidi w:val="0"/>
              <w:spacing w:line="560" w:lineRule="exact"/>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keepNext w:val="0"/>
              <w:keepLines w:val="0"/>
              <w:pageBreakBefore w:val="0"/>
              <w:kinsoku/>
              <w:wordWrap/>
              <w:overflowPunct/>
              <w:topLinePunct w:val="0"/>
              <w:bidi w:val="0"/>
              <w:spacing w:line="560" w:lineRule="exact"/>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keepNext w:val="0"/>
              <w:keepLines w:val="0"/>
              <w:pageBreakBefore w:val="0"/>
              <w:kinsoku/>
              <w:wordWrap/>
              <w:overflowPunct/>
              <w:topLinePunct w:val="0"/>
              <w:bidi w:val="0"/>
              <w:spacing w:line="560" w:lineRule="exact"/>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keepNext w:val="0"/>
              <w:keepLines w:val="0"/>
              <w:pageBreakBefore w:val="0"/>
              <w:kinsoku/>
              <w:wordWrap/>
              <w:overflowPunct/>
              <w:topLinePunct w:val="0"/>
              <w:bidi w:val="0"/>
              <w:spacing w:line="560" w:lineRule="exact"/>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keepNext w:val="0"/>
        <w:keepLines w:val="0"/>
        <w:pageBreakBefore w:val="0"/>
        <w:kinsoku/>
        <w:wordWrap/>
        <w:overflowPunct/>
        <w:topLinePunct w:val="0"/>
        <w:bidi w:val="0"/>
        <w:spacing w:line="560" w:lineRule="exact"/>
        <w:rPr>
          <w:rFonts w:ascii="宋体" w:hAnsi="宋体"/>
          <w:b/>
          <w:bCs/>
          <w:color w:val="000000"/>
          <w:sz w:val="28"/>
          <w:szCs w:val="24"/>
        </w:rPr>
      </w:pPr>
      <w:r>
        <w:rPr>
          <w:rFonts w:hint="eastAsia" w:ascii="宋体" w:hAnsi="宋体"/>
          <w:b/>
          <w:bCs/>
          <w:color w:val="000000"/>
          <w:sz w:val="28"/>
          <w:szCs w:val="24"/>
        </w:rPr>
        <w:br w:type="page"/>
      </w:r>
    </w:p>
    <w:p>
      <w:pPr>
        <w:keepNext w:val="0"/>
        <w:keepLines w:val="0"/>
        <w:pageBreakBefore w:val="0"/>
        <w:widowControl/>
        <w:kinsoku/>
        <w:wordWrap/>
        <w:overflowPunct/>
        <w:topLinePunct w:val="0"/>
        <w:bidi w:val="0"/>
        <w:spacing w:before="100" w:beforeAutospacing="1" w:after="100" w:afterAutospacing="1" w:line="560" w:lineRule="exact"/>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keepNext w:val="0"/>
        <w:keepLines w:val="0"/>
        <w:pageBreakBefore w:val="0"/>
        <w:kinsoku/>
        <w:wordWrap/>
        <w:overflowPunct/>
        <w:topLinePunct w:val="0"/>
        <w:autoSpaceDE w:val="0"/>
        <w:autoSpaceDN w:val="0"/>
        <w:bidi w:val="0"/>
        <w:snapToGrid w:val="0"/>
        <w:spacing w:line="560" w:lineRule="exact"/>
        <w:rPr>
          <w:rFonts w:ascii="宋体" w:hAnsi="宋体"/>
          <w:b/>
          <w:bCs/>
          <w:color w:val="000000"/>
          <w:sz w:val="24"/>
        </w:rPr>
      </w:pPr>
    </w:p>
    <w:p>
      <w:pPr>
        <w:keepNext w:val="0"/>
        <w:keepLines w:val="0"/>
        <w:pageBreakBefore w:val="0"/>
        <w:kinsoku/>
        <w:wordWrap/>
        <w:overflowPunct/>
        <w:topLinePunct w:val="0"/>
        <w:bidi w:val="0"/>
        <w:spacing w:beforeLines="50" w:afterLines="50" w:line="560" w:lineRule="exact"/>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keepNext w:val="0"/>
        <w:keepLines w:val="0"/>
        <w:pageBreakBefore w:val="0"/>
        <w:kinsoku/>
        <w:wordWrap/>
        <w:overflowPunct/>
        <w:topLinePunct w:val="0"/>
        <w:bidi w:val="0"/>
        <w:spacing w:beforeLines="50" w:afterLines="50" w:line="560" w:lineRule="exact"/>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keepNext w:val="0"/>
        <w:keepLines w:val="0"/>
        <w:pageBreakBefore w:val="0"/>
        <w:kinsoku/>
        <w:wordWrap/>
        <w:overflowPunct/>
        <w:topLinePunct w:val="0"/>
        <w:bidi w:val="0"/>
        <w:spacing w:line="560" w:lineRule="exact"/>
        <w:rPr>
          <w:rFonts w:hint="eastAsia"/>
          <w:color w:val="000000"/>
          <w:sz w:val="24"/>
          <w:szCs w:val="24"/>
          <w:u w:val="single"/>
        </w:rPr>
      </w:pPr>
    </w:p>
    <w:p>
      <w:pPr>
        <w:keepNext w:val="0"/>
        <w:keepLines w:val="0"/>
        <w:pageBreakBefore w:val="0"/>
        <w:widowControl/>
        <w:kinsoku/>
        <w:wordWrap/>
        <w:overflowPunct/>
        <w:topLinePunct w:val="0"/>
        <w:bidi w:val="0"/>
        <w:spacing w:before="100" w:beforeAutospacing="1" w:after="100" w:afterAutospacing="1" w:line="560" w:lineRule="exact"/>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keepNext w:val="0"/>
        <w:keepLines w:val="0"/>
        <w:pageBreakBefore w:val="0"/>
        <w:kinsoku/>
        <w:wordWrap/>
        <w:overflowPunct/>
        <w:topLinePunct w:val="0"/>
        <w:autoSpaceDE w:val="0"/>
        <w:autoSpaceDN w:val="0"/>
        <w:bidi w:val="0"/>
        <w:adjustRightInd w:val="0"/>
        <w:spacing w:line="560" w:lineRule="exact"/>
        <w:ind w:right="-11"/>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kinsoku/>
        <w:wordWrap/>
        <w:overflowPunct/>
        <w:topLinePunct w:val="0"/>
        <w:bidi w:val="0"/>
        <w:spacing w:line="560" w:lineRule="exact"/>
        <w:rPr>
          <w:rFonts w:hint="eastAsia" w:ascii="宋体" w:cs="宋体"/>
          <w:szCs w:val="21"/>
        </w:rPr>
      </w:pPr>
    </w:p>
    <w:p>
      <w:pPr>
        <w:pStyle w:val="27"/>
        <w:keepNext w:val="0"/>
        <w:keepLines w:val="0"/>
        <w:pageBreakBefore w:val="0"/>
        <w:numPr>
          <w:ilvl w:val="0"/>
          <w:numId w:val="2"/>
        </w:numPr>
        <w:kinsoku/>
        <w:wordWrap/>
        <w:overflowPunct/>
        <w:topLinePunct w:val="0"/>
        <w:bidi w:val="0"/>
        <w:spacing w:line="560" w:lineRule="exact"/>
        <w:jc w:val="center"/>
        <w:rPr>
          <w:rFonts w:hint="eastAsia" w:ascii="宋体" w:cs="宋体"/>
          <w:b/>
          <w:bCs/>
          <w:sz w:val="28"/>
          <w:szCs w:val="28"/>
          <w:lang w:val="en-US" w:eastAsia="zh-CN"/>
        </w:rPr>
      </w:pPr>
      <w:r>
        <w:rPr>
          <w:rFonts w:hint="eastAsia" w:ascii="宋体" w:cs="宋体"/>
          <w:b/>
          <w:bCs/>
          <w:sz w:val="28"/>
          <w:szCs w:val="28"/>
          <w:lang w:val="en-US" w:eastAsia="zh-CN"/>
        </w:rPr>
        <w:t>营业执照、资质证书</w:t>
      </w: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9"/>
        <w:keepNext w:val="0"/>
        <w:keepLines w:val="0"/>
        <w:pageBreakBefore w:val="0"/>
        <w:kinsoku/>
        <w:wordWrap/>
        <w:overflowPunct/>
        <w:topLinePunct w:val="0"/>
        <w:bidi w:val="0"/>
        <w:spacing w:line="560" w:lineRule="exact"/>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p>
    <w:p>
      <w:pPr>
        <w:pStyle w:val="27"/>
        <w:keepNext w:val="0"/>
        <w:keepLines w:val="0"/>
        <w:pageBreakBefore w:val="0"/>
        <w:numPr>
          <w:ilvl w:val="0"/>
          <w:numId w:val="0"/>
        </w:numPr>
        <w:kinsoku/>
        <w:wordWrap/>
        <w:overflowPunct/>
        <w:topLinePunct w:val="0"/>
        <w:bidi w:val="0"/>
        <w:spacing w:line="560" w:lineRule="exact"/>
        <w:ind w:firstLine="2530" w:firstLineChars="900"/>
        <w:jc w:val="both"/>
        <w:rPr>
          <w:rFonts w:hint="default" w:ascii="宋体" w:cs="宋体"/>
          <w:b/>
          <w:bCs/>
          <w:sz w:val="28"/>
          <w:szCs w:val="28"/>
          <w:lang w:val="en-US" w:eastAsia="zh-CN"/>
        </w:rPr>
      </w:pPr>
      <w:r>
        <w:rPr>
          <w:rFonts w:hint="eastAsia" w:ascii="宋体" w:cs="宋体"/>
          <w:b/>
          <w:bCs/>
          <w:sz w:val="28"/>
          <w:szCs w:val="28"/>
          <w:lang w:val="en-US" w:eastAsia="zh-CN"/>
        </w:rPr>
        <w:t>六、企业综合实力证明材料</w:t>
      </w: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widowControl w:val="0"/>
        <w:numPr>
          <w:ilvl w:val="0"/>
          <w:numId w:val="0"/>
        </w:numPr>
        <w:kinsoku/>
        <w:wordWrap/>
        <w:overflowPunct/>
        <w:topLinePunct w:val="0"/>
        <w:bidi w:val="0"/>
        <w:spacing w:line="560" w:lineRule="exact"/>
        <w:jc w:val="both"/>
        <w:rPr>
          <w:rFonts w:hint="eastAsia" w:ascii="宋体" w:cs="宋体"/>
          <w:b/>
          <w:bCs/>
          <w:sz w:val="28"/>
          <w:szCs w:val="28"/>
          <w:lang w:val="en-US" w:eastAsia="zh-CN"/>
        </w:rPr>
      </w:pPr>
    </w:p>
    <w:p>
      <w:pPr>
        <w:pStyle w:val="27"/>
        <w:keepNext w:val="0"/>
        <w:keepLines w:val="0"/>
        <w:pageBreakBefore w:val="0"/>
        <w:numPr>
          <w:ilvl w:val="0"/>
          <w:numId w:val="0"/>
        </w:numPr>
        <w:kinsoku/>
        <w:wordWrap/>
        <w:overflowPunct/>
        <w:topLinePunct w:val="0"/>
        <w:bidi w:val="0"/>
        <w:spacing w:line="560" w:lineRule="exact"/>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七、其他需要提供的资料</w:t>
      </w:r>
    </w:p>
    <w:p>
      <w:pPr>
        <w:pStyle w:val="27"/>
        <w:keepNext w:val="0"/>
        <w:keepLines w:val="0"/>
        <w:pageBreakBefore w:val="0"/>
        <w:widowControl w:val="0"/>
        <w:numPr>
          <w:ilvl w:val="0"/>
          <w:numId w:val="0"/>
        </w:numPr>
        <w:kinsoku/>
        <w:wordWrap/>
        <w:overflowPunct/>
        <w:topLinePunct w:val="0"/>
        <w:bidi w:val="0"/>
        <w:spacing w:line="560" w:lineRule="exact"/>
        <w:jc w:val="center"/>
        <w:rPr>
          <w:rFonts w:hint="default" w:ascii="宋体" w:cs="宋体"/>
          <w:szCs w:val="21"/>
          <w:lang w:val="en-US" w:eastAsia="zh-CN"/>
        </w:rPr>
      </w:pPr>
      <w:r>
        <w:rPr>
          <w:rFonts w:hint="eastAsia" w:ascii="宋体" w:cs="宋体"/>
          <w:szCs w:val="21"/>
          <w:lang w:val="en-US" w:eastAsia="zh-CN"/>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pStyle w:val="2"/>
      <w:suff w:val="nothing"/>
      <w:lvlText w:val="第%1部分"/>
      <w:lvlJc w:val="center"/>
      <w:pPr>
        <w:ind w:left="1556" w:firstLine="288"/>
      </w:pPr>
      <w:rPr>
        <w:rFonts w:hint="eastAsia"/>
        <w:sz w:val="44"/>
        <w:szCs w:val="28"/>
      </w:rPr>
    </w:lvl>
    <w:lvl w:ilvl="1" w:tentative="0">
      <w:start w:val="1"/>
      <w:numFmt w:val="chineseCountingThousand"/>
      <w:pStyle w:val="3"/>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YTIxMzZlOTBkYWIzYTdkNWMwY2NmMDQzNDJjMjQifQ=="/>
  </w:docVars>
  <w:rsids>
    <w:rsidRoot w:val="6A5A065B"/>
    <w:rsid w:val="00112C44"/>
    <w:rsid w:val="00DE5997"/>
    <w:rsid w:val="011D4691"/>
    <w:rsid w:val="04026F36"/>
    <w:rsid w:val="0419413A"/>
    <w:rsid w:val="04320219"/>
    <w:rsid w:val="045D4134"/>
    <w:rsid w:val="04C1540A"/>
    <w:rsid w:val="05E06FA7"/>
    <w:rsid w:val="06E53B5E"/>
    <w:rsid w:val="0767229E"/>
    <w:rsid w:val="07B76CEE"/>
    <w:rsid w:val="07E43A81"/>
    <w:rsid w:val="07F901A3"/>
    <w:rsid w:val="084A0EA6"/>
    <w:rsid w:val="08A24CBB"/>
    <w:rsid w:val="0A2C3C45"/>
    <w:rsid w:val="0AAB1104"/>
    <w:rsid w:val="0B0B35D9"/>
    <w:rsid w:val="0B555CEB"/>
    <w:rsid w:val="0BB305CD"/>
    <w:rsid w:val="0DF2626F"/>
    <w:rsid w:val="0E5A1497"/>
    <w:rsid w:val="0E8D2557"/>
    <w:rsid w:val="0EEB1D0A"/>
    <w:rsid w:val="10AF4A06"/>
    <w:rsid w:val="10C7166C"/>
    <w:rsid w:val="10E074DB"/>
    <w:rsid w:val="134F4C56"/>
    <w:rsid w:val="146D5582"/>
    <w:rsid w:val="14836404"/>
    <w:rsid w:val="14BC5944"/>
    <w:rsid w:val="16132A43"/>
    <w:rsid w:val="168B2E32"/>
    <w:rsid w:val="170B5F46"/>
    <w:rsid w:val="17295B12"/>
    <w:rsid w:val="1762400A"/>
    <w:rsid w:val="178C784F"/>
    <w:rsid w:val="17B542C8"/>
    <w:rsid w:val="18C94793"/>
    <w:rsid w:val="19127B31"/>
    <w:rsid w:val="1A4127AD"/>
    <w:rsid w:val="1BB76AC9"/>
    <w:rsid w:val="1BF946E9"/>
    <w:rsid w:val="1C1442B7"/>
    <w:rsid w:val="1DC8593B"/>
    <w:rsid w:val="1F221187"/>
    <w:rsid w:val="1F303B22"/>
    <w:rsid w:val="21566699"/>
    <w:rsid w:val="215C0A7C"/>
    <w:rsid w:val="22636EE2"/>
    <w:rsid w:val="22FC1980"/>
    <w:rsid w:val="23780CBF"/>
    <w:rsid w:val="23A26978"/>
    <w:rsid w:val="24DA152F"/>
    <w:rsid w:val="254060AD"/>
    <w:rsid w:val="25AE20BB"/>
    <w:rsid w:val="2603796E"/>
    <w:rsid w:val="26093577"/>
    <w:rsid w:val="29284B1D"/>
    <w:rsid w:val="294C5571"/>
    <w:rsid w:val="2AB20E6B"/>
    <w:rsid w:val="2B0471A2"/>
    <w:rsid w:val="2C0E7C49"/>
    <w:rsid w:val="2CE35D0C"/>
    <w:rsid w:val="2DB63777"/>
    <w:rsid w:val="2DDD0FD4"/>
    <w:rsid w:val="2E03208E"/>
    <w:rsid w:val="2EE04EF4"/>
    <w:rsid w:val="303C2C58"/>
    <w:rsid w:val="30BE23FC"/>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DB339C4"/>
    <w:rsid w:val="3EAD09F5"/>
    <w:rsid w:val="3FCE5FBC"/>
    <w:rsid w:val="40051BF8"/>
    <w:rsid w:val="400D10B2"/>
    <w:rsid w:val="407055D6"/>
    <w:rsid w:val="41D37AFA"/>
    <w:rsid w:val="42484966"/>
    <w:rsid w:val="42B519E9"/>
    <w:rsid w:val="42C6151D"/>
    <w:rsid w:val="43A442C6"/>
    <w:rsid w:val="43D91523"/>
    <w:rsid w:val="43F73885"/>
    <w:rsid w:val="45B94D73"/>
    <w:rsid w:val="46D0453B"/>
    <w:rsid w:val="4849460B"/>
    <w:rsid w:val="48710218"/>
    <w:rsid w:val="48E13021"/>
    <w:rsid w:val="49EB6F4A"/>
    <w:rsid w:val="4B091138"/>
    <w:rsid w:val="4B1D0463"/>
    <w:rsid w:val="4B6B3D7C"/>
    <w:rsid w:val="4B6C26CB"/>
    <w:rsid w:val="4BDA0780"/>
    <w:rsid w:val="4C6D0D60"/>
    <w:rsid w:val="4CCE2312"/>
    <w:rsid w:val="4CD14D26"/>
    <w:rsid w:val="4CEF2724"/>
    <w:rsid w:val="4D8B1D7C"/>
    <w:rsid w:val="4F09428B"/>
    <w:rsid w:val="4FDD0E7B"/>
    <w:rsid w:val="509318E3"/>
    <w:rsid w:val="50BB187B"/>
    <w:rsid w:val="50E25DFE"/>
    <w:rsid w:val="51E011C4"/>
    <w:rsid w:val="530E3B10"/>
    <w:rsid w:val="537D1635"/>
    <w:rsid w:val="53BB0720"/>
    <w:rsid w:val="54D779D8"/>
    <w:rsid w:val="559700CD"/>
    <w:rsid w:val="55B20DA6"/>
    <w:rsid w:val="5ACA6500"/>
    <w:rsid w:val="5AEA4594"/>
    <w:rsid w:val="5B0E5D3C"/>
    <w:rsid w:val="5E585F2B"/>
    <w:rsid w:val="5E983F45"/>
    <w:rsid w:val="5EA13181"/>
    <w:rsid w:val="5ED27B19"/>
    <w:rsid w:val="614B4DF2"/>
    <w:rsid w:val="61903065"/>
    <w:rsid w:val="624B638D"/>
    <w:rsid w:val="626A3C89"/>
    <w:rsid w:val="62A9228E"/>
    <w:rsid w:val="632C4DC5"/>
    <w:rsid w:val="63A12BF9"/>
    <w:rsid w:val="64574D7B"/>
    <w:rsid w:val="669E0C34"/>
    <w:rsid w:val="66D76745"/>
    <w:rsid w:val="66E30DC8"/>
    <w:rsid w:val="69744E10"/>
    <w:rsid w:val="6A0D758C"/>
    <w:rsid w:val="6A5A065B"/>
    <w:rsid w:val="6A655A1D"/>
    <w:rsid w:val="6AC95EDC"/>
    <w:rsid w:val="6D09406B"/>
    <w:rsid w:val="6E942999"/>
    <w:rsid w:val="705B5C66"/>
    <w:rsid w:val="71B115E4"/>
    <w:rsid w:val="724A0B58"/>
    <w:rsid w:val="72D05810"/>
    <w:rsid w:val="737C7D3B"/>
    <w:rsid w:val="73C65172"/>
    <w:rsid w:val="740C2D72"/>
    <w:rsid w:val="74DB35C2"/>
    <w:rsid w:val="750C27BD"/>
    <w:rsid w:val="75584146"/>
    <w:rsid w:val="76FD4590"/>
    <w:rsid w:val="7702424C"/>
    <w:rsid w:val="77070231"/>
    <w:rsid w:val="78CE0040"/>
    <w:rsid w:val="7A6535D9"/>
    <w:rsid w:val="7A801A82"/>
    <w:rsid w:val="7ADB7381"/>
    <w:rsid w:val="7BA23801"/>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adjustRightInd w:val="0"/>
      <w:spacing w:before="340" w:after="330" w:line="578" w:lineRule="atLeast"/>
      <w:ind w:left="0"/>
      <w:jc w:val="left"/>
      <w:textAlignment w:val="baseline"/>
      <w:outlineLvl w:val="0"/>
    </w:pPr>
    <w:rPr>
      <w:rFonts w:ascii="Calibri" w:hAnsi="Calibri" w:eastAsia="宋体" w:cs="Times New Roman"/>
      <w:b/>
      <w:bCs/>
      <w:kern w:val="44"/>
      <w:sz w:val="44"/>
      <w:szCs w:val="44"/>
    </w:rPr>
  </w:style>
  <w:style w:type="paragraph" w:styleId="3">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3">
    <w:name w:val="Default Paragraph Font"/>
    <w:autoRedefine/>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99"/>
    <w:pPr>
      <w:spacing w:after="120" w:afterLines="0"/>
    </w:pPr>
  </w:style>
  <w:style w:type="paragraph" w:styleId="5">
    <w:name w:val="Body Text 2"/>
    <w:basedOn w:val="1"/>
    <w:qFormat/>
    <w:uiPriority w:val="0"/>
    <w:pPr>
      <w:spacing w:line="480" w:lineRule="auto"/>
    </w:pPr>
    <w:rPr>
      <w:rFonts w:ascii="Times New Roman" w:hAnsi="Times New Roman" w:eastAsia="宋体" w:cs="Times New Roman"/>
    </w:rPr>
  </w:style>
  <w:style w:type="paragraph" w:styleId="6">
    <w:name w:val="Body Text Indent"/>
    <w:basedOn w:val="1"/>
    <w:next w:val="7"/>
    <w:autoRedefine/>
    <w:qFormat/>
    <w:uiPriority w:val="99"/>
    <w:pPr>
      <w:spacing w:after="120"/>
      <w:ind w:left="420" w:leftChars="200"/>
    </w:pPr>
  </w:style>
  <w:style w:type="paragraph" w:styleId="7">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autoRedefine/>
    <w:qFormat/>
    <w:uiPriority w:val="0"/>
    <w:rPr>
      <w:rFonts w:eastAsia="宋体"/>
      <w:sz w:val="24"/>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4"/>
    <w:next w:val="11"/>
    <w:autoRedefine/>
    <w:qFormat/>
    <w:uiPriority w:val="0"/>
    <w:pPr>
      <w:spacing w:line="312" w:lineRule="auto"/>
      <w:ind w:firstLine="420"/>
    </w:pPr>
  </w:style>
  <w:style w:type="paragraph" w:styleId="11">
    <w:name w:val="Body Text First Indent 2"/>
    <w:basedOn w:val="6"/>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4">
    <w:name w:val="FollowedHyperlink"/>
    <w:basedOn w:val="13"/>
    <w:autoRedefine/>
    <w:qFormat/>
    <w:uiPriority w:val="0"/>
    <w:rPr>
      <w:color w:val="000000"/>
      <w:u w:val="none"/>
    </w:rPr>
  </w:style>
  <w:style w:type="character" w:styleId="15">
    <w:name w:val="Emphasis"/>
    <w:basedOn w:val="13"/>
    <w:autoRedefine/>
    <w:qFormat/>
    <w:uiPriority w:val="0"/>
  </w:style>
  <w:style w:type="character" w:styleId="16">
    <w:name w:val="Hyperlink"/>
    <w:basedOn w:val="13"/>
    <w:autoRedefine/>
    <w:qFormat/>
    <w:uiPriority w:val="0"/>
    <w:rPr>
      <w:color w:val="000000"/>
      <w:u w:val="none"/>
    </w:rPr>
  </w:style>
  <w:style w:type="character" w:customStyle="1" w:styleId="17">
    <w:name w:val="hover25"/>
    <w:basedOn w:val="13"/>
    <w:autoRedefine/>
    <w:qFormat/>
    <w:uiPriority w:val="0"/>
  </w:style>
  <w:style w:type="character" w:customStyle="1" w:styleId="18">
    <w:name w:val="red"/>
    <w:basedOn w:val="13"/>
    <w:autoRedefine/>
    <w:qFormat/>
    <w:uiPriority w:val="0"/>
    <w:rPr>
      <w:color w:val="FF0000"/>
      <w:sz w:val="18"/>
      <w:szCs w:val="18"/>
    </w:rPr>
  </w:style>
  <w:style w:type="character" w:customStyle="1" w:styleId="19">
    <w:name w:val="red1"/>
    <w:basedOn w:val="13"/>
    <w:autoRedefine/>
    <w:qFormat/>
    <w:uiPriority w:val="0"/>
    <w:rPr>
      <w:color w:val="FF0000"/>
      <w:sz w:val="18"/>
      <w:szCs w:val="18"/>
    </w:rPr>
  </w:style>
  <w:style w:type="character" w:customStyle="1" w:styleId="20">
    <w:name w:val="red2"/>
    <w:basedOn w:val="13"/>
    <w:autoRedefine/>
    <w:qFormat/>
    <w:uiPriority w:val="0"/>
    <w:rPr>
      <w:color w:val="CC0000"/>
    </w:rPr>
  </w:style>
  <w:style w:type="character" w:customStyle="1" w:styleId="21">
    <w:name w:val="red3"/>
    <w:basedOn w:val="13"/>
    <w:autoRedefine/>
    <w:qFormat/>
    <w:uiPriority w:val="0"/>
    <w:rPr>
      <w:color w:val="FF0000"/>
    </w:rPr>
  </w:style>
  <w:style w:type="character" w:customStyle="1" w:styleId="22">
    <w:name w:val="green"/>
    <w:basedOn w:val="13"/>
    <w:autoRedefine/>
    <w:qFormat/>
    <w:uiPriority w:val="0"/>
    <w:rPr>
      <w:color w:val="66AE00"/>
      <w:sz w:val="18"/>
      <w:szCs w:val="18"/>
    </w:rPr>
  </w:style>
  <w:style w:type="character" w:customStyle="1" w:styleId="23">
    <w:name w:val="green1"/>
    <w:basedOn w:val="13"/>
    <w:autoRedefine/>
    <w:qFormat/>
    <w:uiPriority w:val="0"/>
    <w:rPr>
      <w:color w:val="66AE00"/>
      <w:sz w:val="18"/>
      <w:szCs w:val="18"/>
    </w:rPr>
  </w:style>
  <w:style w:type="character" w:customStyle="1" w:styleId="24">
    <w:name w:val="blue"/>
    <w:basedOn w:val="13"/>
    <w:autoRedefine/>
    <w:qFormat/>
    <w:uiPriority w:val="0"/>
    <w:rPr>
      <w:color w:val="0371C6"/>
      <w:sz w:val="21"/>
      <w:szCs w:val="21"/>
    </w:rPr>
  </w:style>
  <w:style w:type="character" w:customStyle="1" w:styleId="25">
    <w:name w:val="right"/>
    <w:basedOn w:val="13"/>
    <w:autoRedefine/>
    <w:qFormat/>
    <w:uiPriority w:val="0"/>
    <w:rPr>
      <w:color w:val="999999"/>
      <w:sz w:val="18"/>
      <w:szCs w:val="18"/>
    </w:rPr>
  </w:style>
  <w:style w:type="character" w:customStyle="1" w:styleId="26">
    <w:name w:val="gb-jt"/>
    <w:basedOn w:val="13"/>
    <w:autoRedefine/>
    <w:qFormat/>
    <w:uiPriority w:val="0"/>
  </w:style>
  <w:style w:type="paragraph" w:customStyle="1" w:styleId="27">
    <w:name w:val="列出段落1"/>
    <w:basedOn w:val="1"/>
    <w:autoRedefine/>
    <w:qFormat/>
    <w:uiPriority w:val="34"/>
    <w:pPr>
      <w:ind w:firstLine="420" w:firstLineChars="200"/>
    </w:pPr>
  </w:style>
  <w:style w:type="character" w:customStyle="1" w:styleId="28">
    <w:name w:val="标题 2 Char"/>
    <w:basedOn w:val="13"/>
    <w:link w:val="3"/>
    <w:autoRedefine/>
    <w:qFormat/>
    <w:uiPriority w:val="0"/>
    <w:rPr>
      <w:rFonts w:ascii="Arial" w:hAnsi="Arial" w:eastAsia="黑体" w:cs="Times New Roman"/>
      <w:b/>
      <w:bCs/>
      <w:kern w:val="0"/>
      <w:sz w:val="32"/>
      <w:szCs w:val="32"/>
    </w:rPr>
  </w:style>
  <w:style w:type="paragraph" w:customStyle="1" w:styleId="29">
    <w:name w:val="正文文本缩进1"/>
    <w:basedOn w:val="1"/>
    <w:autoRedefine/>
    <w:qFormat/>
    <w:uiPriority w:val="0"/>
    <w:pPr>
      <w:spacing w:line="360" w:lineRule="auto"/>
      <w:ind w:firstLine="480" w:firstLineChars="200"/>
    </w:pPr>
    <w:rPr>
      <w:rFonts w:ascii="宋体"/>
      <w:sz w:val="24"/>
    </w:rPr>
  </w:style>
  <w:style w:type="paragraph" w:customStyle="1" w:styleId="30">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autoRedefine/>
    <w:qFormat/>
    <w:uiPriority w:val="0"/>
    <w:rPr>
      <w:sz w:val="24"/>
    </w:rPr>
  </w:style>
  <w:style w:type="paragraph" w:customStyle="1" w:styleId="32">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2717</Words>
  <Characters>2893</Characters>
  <Lines>0</Lines>
  <Paragraphs>0</Paragraphs>
  <TotalTime>5</TotalTime>
  <ScaleCrop>false</ScaleCrop>
  <LinksUpToDate>false</LinksUpToDate>
  <CharactersWithSpaces>3135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李亚召</cp:lastModifiedBy>
  <cp:lastPrinted>2024-01-29T00:50:00Z</cp:lastPrinted>
  <dcterms:modified xsi:type="dcterms:W3CDTF">2024-01-29T06:42:38Z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2E7F98407D8A43B39D7F3E78AB18F71D_13</vt:lpwstr>
  </property>
</Properties>
</file>