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sz w:val="28"/>
          <w:szCs w:val="28"/>
        </w:rPr>
      </w:pPr>
      <w:bookmarkStart w:id="0" w:name="_GoBack"/>
      <w:bookmarkEnd w:id="0"/>
      <w:r>
        <w:rPr>
          <w:rFonts w:hint="eastAsia"/>
          <w:sz w:val="28"/>
          <w:szCs w:val="28"/>
        </w:rPr>
        <w:t>附件1：评分细则</w:t>
      </w:r>
    </w:p>
    <w:tbl>
      <w:tblPr>
        <w:tblStyle w:val="13"/>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1228" w:type="dxa"/>
            <w:vMerge w:val="restart"/>
            <w:vAlign w:val="center"/>
          </w:tcPr>
          <w:p>
            <w:pPr>
              <w:widowControl/>
              <w:spacing w:line="360" w:lineRule="auto"/>
              <w:jc w:val="center"/>
            </w:pPr>
            <w:r>
              <w:rPr>
                <w:rFonts w:hint="eastAsia"/>
              </w:rPr>
              <w:t>企业综合实力（100分）</w:t>
            </w:r>
          </w:p>
          <w:p>
            <w:pPr>
              <w:pStyle w:val="11"/>
            </w:pPr>
          </w:p>
        </w:tc>
        <w:tc>
          <w:tcPr>
            <w:tcW w:w="1353" w:type="dxa"/>
            <w:vAlign w:val="center"/>
          </w:tcPr>
          <w:p>
            <w:pPr>
              <w:widowControl/>
              <w:spacing w:line="360" w:lineRule="auto"/>
              <w:jc w:val="left"/>
              <w:rPr>
                <w:rFonts w:ascii="宋体" w:hAnsi="宋体"/>
                <w:kern w:val="0"/>
                <w:szCs w:val="21"/>
              </w:rPr>
            </w:pPr>
            <w:r>
              <w:rPr>
                <w:rFonts w:hint="eastAsia" w:ascii="宋体" w:hAnsi="宋体"/>
                <w:kern w:val="0"/>
                <w:szCs w:val="21"/>
              </w:rPr>
              <w:t>项目理解与需求分析（30分）</w:t>
            </w:r>
          </w:p>
        </w:tc>
        <w:tc>
          <w:tcPr>
            <w:tcW w:w="7197" w:type="dxa"/>
            <w:vAlign w:val="center"/>
          </w:tcPr>
          <w:p>
            <w:pPr>
              <w:widowControl/>
              <w:spacing w:line="360" w:lineRule="auto"/>
              <w:jc w:val="left"/>
              <w:rPr>
                <w:rFonts w:ascii="宋体" w:hAnsi="宋体" w:eastAsiaTheme="minorEastAsia"/>
                <w:kern w:val="0"/>
                <w:szCs w:val="21"/>
              </w:rPr>
            </w:pPr>
            <w:r>
              <w:rPr>
                <w:rFonts w:hint="eastAsia" w:ascii="宋体" w:hAnsi="宋体"/>
                <w:kern w:val="0"/>
                <w:szCs w:val="21"/>
              </w:rPr>
              <w:t>投标人针对本项目采购需求进行综合分析，对本项目的建设背景、需求、现状分析和目标理解充分，对项目的重点、难点分析准确。优秀的，20＜得分≤30分；良好的，10＜得分≤20分；一般的，0＜得分≤10分。具体档次由评标小组成员根据响应文件编制情况综合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1228" w:type="dxa"/>
            <w:vMerge w:val="continue"/>
            <w:vAlign w:val="center"/>
          </w:tcPr>
          <w:p>
            <w:pPr>
              <w:widowControl/>
              <w:spacing w:line="360" w:lineRule="auto"/>
              <w:jc w:val="center"/>
              <w:rPr>
                <w:rFonts w:ascii="宋体" w:hAnsi="宋体"/>
                <w:kern w:val="0"/>
                <w:szCs w:val="21"/>
              </w:rPr>
            </w:pPr>
          </w:p>
        </w:tc>
        <w:tc>
          <w:tcPr>
            <w:tcW w:w="1353" w:type="dxa"/>
            <w:vAlign w:val="center"/>
          </w:tcPr>
          <w:p>
            <w:pPr>
              <w:widowControl/>
              <w:spacing w:line="360" w:lineRule="auto"/>
              <w:jc w:val="left"/>
              <w:rPr>
                <w:rFonts w:ascii="宋体" w:hAnsi="宋体"/>
                <w:kern w:val="0"/>
                <w:szCs w:val="21"/>
              </w:rPr>
            </w:pPr>
            <w:r>
              <w:rPr>
                <w:rFonts w:hint="eastAsia" w:ascii="宋体" w:hAnsi="宋体"/>
                <w:kern w:val="0"/>
                <w:szCs w:val="21"/>
              </w:rPr>
              <w:t>企业业绩（50分）</w:t>
            </w:r>
          </w:p>
        </w:tc>
        <w:tc>
          <w:tcPr>
            <w:tcW w:w="7197" w:type="dxa"/>
            <w:vAlign w:val="center"/>
          </w:tcPr>
          <w:p>
            <w:pPr>
              <w:widowControl/>
              <w:spacing w:line="360" w:lineRule="auto"/>
              <w:jc w:val="left"/>
              <w:rPr>
                <w:rFonts w:ascii="宋体" w:hAnsi="宋体"/>
                <w:kern w:val="0"/>
                <w:szCs w:val="21"/>
              </w:rPr>
            </w:pPr>
            <w:r>
              <w:rPr>
                <w:rFonts w:hint="eastAsia" w:ascii="宋体" w:hAnsi="宋体"/>
                <w:kern w:val="0"/>
                <w:szCs w:val="21"/>
              </w:rPr>
              <w:t>自2021年1月1日以来，投标人完成类似项目的勘察报告，1个得10分，最多得50分。类似项目指建筑面积≥</w:t>
            </w:r>
            <w:r>
              <w:rPr>
                <w:rFonts w:hint="eastAsia" w:ascii="宋体" w:hAnsi="宋体"/>
                <w:kern w:val="0"/>
                <w:szCs w:val="21"/>
                <w:lang w:val="en-US" w:eastAsia="zh-CN"/>
              </w:rPr>
              <w:t>5</w:t>
            </w:r>
            <w:r>
              <w:rPr>
                <w:rFonts w:hint="eastAsia" w:ascii="宋体" w:hAnsi="宋体"/>
                <w:kern w:val="0"/>
                <w:szCs w:val="21"/>
              </w:rPr>
              <w:t>万平方米的房屋建筑，须提供签订合同复印件加盖公章作为证明材料。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1228" w:type="dxa"/>
            <w:vMerge w:val="continue"/>
            <w:vAlign w:val="center"/>
          </w:tcPr>
          <w:p>
            <w:pPr>
              <w:widowControl/>
              <w:spacing w:line="360" w:lineRule="auto"/>
              <w:jc w:val="center"/>
              <w:rPr>
                <w:rFonts w:ascii="宋体" w:hAnsi="宋体"/>
                <w:kern w:val="0"/>
                <w:szCs w:val="21"/>
              </w:rPr>
            </w:pPr>
          </w:p>
        </w:tc>
        <w:tc>
          <w:tcPr>
            <w:tcW w:w="1353" w:type="dxa"/>
            <w:vAlign w:val="center"/>
          </w:tcPr>
          <w:p>
            <w:pPr>
              <w:widowControl/>
              <w:spacing w:line="360" w:lineRule="auto"/>
              <w:jc w:val="left"/>
              <w:rPr>
                <w:rFonts w:ascii="宋体" w:hAnsi="宋体"/>
                <w:kern w:val="0"/>
                <w:szCs w:val="21"/>
                <w:u w:val="single"/>
              </w:rPr>
            </w:pPr>
            <w:r>
              <w:rPr>
                <w:rFonts w:hint="eastAsia" w:ascii="宋体" w:hAnsi="宋体"/>
                <w:kern w:val="0"/>
                <w:szCs w:val="21"/>
              </w:rPr>
              <w:t>团队成员（20分）</w:t>
            </w:r>
          </w:p>
        </w:tc>
        <w:tc>
          <w:tcPr>
            <w:tcW w:w="7197" w:type="dxa"/>
            <w:vAlign w:val="center"/>
          </w:tcPr>
          <w:p>
            <w:pPr>
              <w:widowControl/>
              <w:spacing w:line="360" w:lineRule="auto"/>
              <w:jc w:val="left"/>
              <w:rPr>
                <w:rFonts w:ascii="宋体" w:hAnsi="宋体"/>
                <w:kern w:val="0"/>
                <w:szCs w:val="21"/>
                <w:u w:val="single"/>
              </w:rPr>
            </w:pPr>
            <w:r>
              <w:rPr>
                <w:rFonts w:hint="eastAsia" w:ascii="宋体" w:hAnsi="宋体"/>
                <w:kern w:val="0"/>
                <w:szCs w:val="21"/>
              </w:rPr>
              <w:t>投标人拟派负责人具有工程类高级工程师职称的得10分，</w:t>
            </w:r>
            <w:r>
              <w:rPr>
                <w:rFonts w:hint="eastAsia" w:ascii="宋体" w:hAnsi="宋体"/>
                <w:kern w:val="0"/>
                <w:szCs w:val="21"/>
                <w:lang w:val="en-US" w:eastAsia="zh-CN"/>
              </w:rPr>
              <w:t>具有</w:t>
            </w:r>
            <w:r>
              <w:rPr>
                <w:rFonts w:hint="eastAsia" w:ascii="宋体" w:hAnsi="宋体"/>
                <w:kern w:val="0"/>
                <w:szCs w:val="21"/>
              </w:rPr>
              <w:t>工程师职称的得5分；除负责人外的其他团队成员，具有高级工程师职称的得5分，</w:t>
            </w:r>
            <w:r>
              <w:rPr>
                <w:rFonts w:hint="eastAsia" w:ascii="宋体" w:hAnsi="宋体"/>
                <w:kern w:val="0"/>
                <w:szCs w:val="21"/>
                <w:lang w:val="en-US" w:eastAsia="zh-CN"/>
              </w:rPr>
              <w:t>具有工程师职称的得5分</w:t>
            </w:r>
            <w:r>
              <w:rPr>
                <w:rFonts w:hint="eastAsia" w:ascii="宋体" w:hAnsi="宋体"/>
                <w:kern w:val="0"/>
                <w:szCs w:val="21"/>
              </w:rPr>
              <w:t>。本项最高得20分。须提供职称复印件加盖公司公章。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2581" w:type="dxa"/>
            <w:gridSpan w:val="2"/>
            <w:vAlign w:val="center"/>
          </w:tcPr>
          <w:p>
            <w:pPr>
              <w:widowControl/>
              <w:spacing w:line="360" w:lineRule="auto"/>
              <w:jc w:val="center"/>
              <w:rPr>
                <w:rFonts w:ascii="宋体" w:hAnsi="宋体" w:eastAsiaTheme="minorEastAsia"/>
                <w:kern w:val="0"/>
                <w:szCs w:val="21"/>
              </w:rPr>
            </w:pPr>
            <w:r>
              <w:rPr>
                <w:rFonts w:hint="eastAsia" w:ascii="宋体" w:hAnsi="宋体" w:eastAsiaTheme="minorEastAsia"/>
                <w:kern w:val="0"/>
                <w:szCs w:val="21"/>
              </w:rPr>
              <w:t>最终得分</w:t>
            </w:r>
          </w:p>
        </w:tc>
        <w:tc>
          <w:tcPr>
            <w:tcW w:w="7197" w:type="dxa"/>
          </w:tcPr>
          <w:p>
            <w:pPr>
              <w:widowControl/>
              <w:spacing w:line="360" w:lineRule="auto"/>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778" w:type="dxa"/>
            <w:gridSpan w:val="3"/>
            <w:vAlign w:val="center"/>
          </w:tcPr>
          <w:p>
            <w:pPr>
              <w:widowControl/>
              <w:spacing w:line="360" w:lineRule="auto"/>
              <w:jc w:val="left"/>
              <w:rPr>
                <w:szCs w:val="22"/>
              </w:rPr>
            </w:pPr>
            <w:r>
              <w:rPr>
                <w:rFonts w:hint="eastAsia" w:ascii="宋体" w:hAnsi="宋体"/>
                <w:kern w:val="0"/>
                <w:szCs w:val="21"/>
              </w:rPr>
              <w:t>投标人的最终得分：将各位评标专家评分分数的算术平均值作为该投标人的最终得分，保留两位小数。</w:t>
            </w:r>
          </w:p>
        </w:tc>
      </w:tr>
    </w:tbl>
    <w:p>
      <w:pPr>
        <w:pStyle w:val="11"/>
        <w:rPr>
          <w:sz w:val="28"/>
          <w:szCs w:val="28"/>
        </w:rPr>
      </w:pPr>
    </w:p>
    <w:p>
      <w:pPr>
        <w:pStyle w:val="12"/>
        <w:ind w:left="420" w:firstLine="560"/>
        <w:rPr>
          <w:rFonts w:hint="default"/>
          <w:sz w:val="28"/>
          <w:szCs w:val="28"/>
          <w:lang w:eastAsia="zh-CN"/>
        </w:rPr>
      </w:pPr>
    </w:p>
    <w:p>
      <w:pPr>
        <w:pStyle w:val="12"/>
        <w:ind w:left="420" w:firstLine="560"/>
        <w:rPr>
          <w:rFonts w:hint="default"/>
          <w:sz w:val="28"/>
          <w:szCs w:val="28"/>
          <w:lang w:eastAsia="zh-CN"/>
        </w:rPr>
      </w:pPr>
    </w:p>
    <w:p>
      <w:pPr>
        <w:pStyle w:val="12"/>
        <w:ind w:left="420" w:firstLine="560"/>
        <w:rPr>
          <w:rFonts w:hint="default"/>
          <w:sz w:val="28"/>
          <w:szCs w:val="28"/>
          <w:lang w:eastAsia="zh-CN"/>
        </w:rPr>
      </w:pPr>
    </w:p>
    <w:p>
      <w:pPr>
        <w:pStyle w:val="12"/>
        <w:ind w:left="420" w:firstLine="560"/>
        <w:rPr>
          <w:rFonts w:hint="default"/>
          <w:sz w:val="28"/>
          <w:szCs w:val="28"/>
          <w:lang w:eastAsia="zh-CN"/>
        </w:rPr>
      </w:pPr>
    </w:p>
    <w:p>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附件2：响应文件格式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9"/>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11"/>
        <w:ind w:firstLine="0"/>
        <w:rPr>
          <w:rFonts w:hAnsi="宋体" w:cs="微软雅黑"/>
          <w:szCs w:val="28"/>
        </w:rPr>
      </w:pPr>
    </w:p>
    <w:p>
      <w:pPr>
        <w:pStyle w:val="11"/>
        <w:ind w:firstLine="340"/>
        <w:rPr>
          <w:rFonts w:hAnsi="宋体" w:cs="微软雅黑"/>
          <w:szCs w:val="28"/>
        </w:rPr>
      </w:pPr>
    </w:p>
    <w:p>
      <w:pPr>
        <w:pStyle w:val="12"/>
        <w:ind w:left="420" w:firstLine="420"/>
        <w:rPr>
          <w:rFonts w:hint="default" w:hAnsi="宋体" w:cs="微软雅黑"/>
          <w:szCs w:val="28"/>
          <w:lang w:eastAsia="zh-CN"/>
        </w:rPr>
      </w:pPr>
    </w:p>
    <w:p>
      <w:pPr>
        <w:pStyle w:val="12"/>
        <w:ind w:left="420" w:firstLine="420"/>
        <w:rPr>
          <w:rFonts w:hint="default" w:hAnsi="宋体" w:cs="微软雅黑"/>
          <w:szCs w:val="28"/>
          <w:lang w:eastAsia="zh-CN"/>
        </w:rPr>
      </w:pPr>
    </w:p>
    <w:p>
      <w:pPr>
        <w:pStyle w:val="12"/>
        <w:ind w:left="420" w:firstLine="420"/>
        <w:rPr>
          <w:rFonts w:hint="default" w:hAnsi="宋体" w:cs="微软雅黑"/>
          <w:szCs w:val="28"/>
          <w:lang w:eastAsia="zh-CN"/>
        </w:rPr>
      </w:pPr>
    </w:p>
    <w:p>
      <w:pPr>
        <w:pStyle w:val="12"/>
        <w:ind w:left="420" w:firstLine="420"/>
        <w:rPr>
          <w:rFonts w:hint="default" w:hAnsi="宋体" w:cs="微软雅黑"/>
          <w:szCs w:val="28"/>
          <w:lang w:eastAsia="zh-CN"/>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11"/>
        <w:ind w:firstLine="0"/>
      </w:pPr>
    </w:p>
    <w:p/>
    <w:p>
      <w:pPr>
        <w:pStyle w:val="7"/>
        <w:spacing w:line="360" w:lineRule="auto"/>
        <w:ind w:firstLine="2811" w:firstLineChars="1000"/>
        <w:rPr>
          <w:rFonts w:asciiTheme="majorEastAsia" w:hAnsiTheme="majorEastAsia" w:eastAsiaTheme="majorEastAsia"/>
          <w:b/>
          <w:snapToGrid w:val="0"/>
          <w:kern w:val="0"/>
          <w:sz w:val="28"/>
          <w:szCs w:val="28"/>
        </w:rPr>
      </w:pP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3"/>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bl>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r>
        <w:rPr>
          <w:rFonts w:hint="eastAsia" w:cs="宋体" w:asciiTheme="minorEastAsia" w:hAnsiTheme="minorEastAsia"/>
          <w:sz w:val="24"/>
        </w:rPr>
        <w:t>与服务周期保持一致</w:t>
      </w:r>
      <w:r>
        <w:rPr>
          <w:rFonts w:hint="eastAsia" w:cs="宋体" w:asciiTheme="minorEastAsia" w:hAnsiTheme="minorEastAsia"/>
          <w:sz w:val="24"/>
          <w:lang w:val="zh-CN"/>
        </w:rPr>
        <w:t>。</w:t>
      </w:r>
    </w:p>
    <w:p>
      <w:pPr>
        <w:autoSpaceDE w:val="0"/>
        <w:autoSpaceDN w:val="0"/>
        <w:adjustRightInd w:val="0"/>
        <w:spacing w:line="480" w:lineRule="auto"/>
        <w:ind w:firstLine="480" w:firstLineChars="200"/>
        <w:rPr>
          <w:rFonts w:cs="宋体" w:asciiTheme="minorEastAsia" w:hAnsiTheme="minorEastAsia"/>
          <w:sz w:val="24"/>
          <w:lang w:val="zh-CN"/>
        </w:rPr>
      </w:pPr>
      <w:r>
        <w:rPr>
          <w:rFonts w:hint="eastAsia" w:cs="宋体" w:asciiTheme="minorEastAsia" w:hAnsiTheme="minorEastAsia"/>
          <w:sz w:val="24"/>
          <w:lang w:val="zh-CN"/>
        </w:rPr>
        <w:t>2、如</w:t>
      </w:r>
      <w:r>
        <w:rPr>
          <w:rFonts w:hint="eastAsia" w:cs="宋体" w:asciiTheme="minorEastAsia" w:hAnsiTheme="minorEastAsia"/>
          <w:sz w:val="24"/>
        </w:rPr>
        <w:t>询价</w:t>
      </w:r>
      <w:r>
        <w:rPr>
          <w:rFonts w:hint="eastAsia" w:cs="宋体" w:asciiTheme="minorEastAsia" w:hAnsiTheme="minorEastAsia"/>
          <w:sz w:val="24"/>
          <w:lang w:val="zh-CN"/>
        </w:rPr>
        <w:t>公告明确项目交付日期以年为单位，本表应填写完成该项目的年限。</w:t>
      </w:r>
    </w:p>
    <w:p>
      <w:pPr>
        <w:pStyle w:val="28"/>
      </w:pPr>
    </w:p>
    <w:p/>
    <w:p>
      <w:pPr>
        <w:pStyle w:val="11"/>
      </w:pPr>
    </w:p>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spacing w:line="480" w:lineRule="exact"/>
        <w:ind w:firstLine="2389" w:firstLineChars="850"/>
        <w:rPr>
          <w:rFonts w:asciiTheme="majorEastAsia" w:hAnsiTheme="majorEastAsia" w:eastAsiaTheme="majorEastAsia"/>
          <w:b/>
          <w:bCs/>
          <w:sz w:val="28"/>
          <w:szCs w:val="28"/>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30"/>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pPr>
        <w:pStyle w:val="30"/>
        <w:spacing w:line="480" w:lineRule="auto"/>
        <w:ind w:firstLine="540" w:firstLineChars="225"/>
        <w:jc w:val="left"/>
        <w:rPr>
          <w:rFonts w:asciiTheme="minorEastAsia" w:hAnsiTheme="minorEastAsia"/>
        </w:rPr>
      </w:pPr>
      <w:r>
        <w:rPr>
          <w:rFonts w:hint="eastAsia" w:asciiTheme="minorEastAsia" w:hAnsiTheme="minorEastAsia"/>
        </w:rPr>
        <w:t>地址：</w:t>
      </w:r>
    </w:p>
    <w:p>
      <w:pPr>
        <w:pStyle w:val="30"/>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pPr>
        <w:pStyle w:val="30"/>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hint="eastAsia" w:asciiTheme="minorEastAsia" w:hAnsiTheme="minorEastAsia"/>
        </w:rPr>
        <w:t>询价</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pPr>
        <w:pStyle w:val="30"/>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pPr>
        <w:pStyle w:val="30"/>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pPr>
        <w:pStyle w:val="30"/>
        <w:spacing w:line="480" w:lineRule="auto"/>
        <w:ind w:firstLine="540" w:firstLineChars="225"/>
        <w:jc w:val="left"/>
        <w:rPr>
          <w:rFonts w:asciiTheme="minorEastAsia" w:hAnsiTheme="minorEastAsia"/>
        </w:rPr>
      </w:pPr>
    </w:p>
    <w:p>
      <w:pPr>
        <w:pStyle w:val="30"/>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pPr>
        <w:pStyle w:val="30"/>
        <w:spacing w:line="480" w:lineRule="auto"/>
        <w:ind w:left="-538" w:leftChars="-256" w:firstLine="616" w:firstLineChars="257"/>
        <w:jc w:val="center"/>
        <w:rPr>
          <w:rFonts w:asciiTheme="minorEastAsia" w:hAnsiTheme="minorEastAsia"/>
          <w:bCs/>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pPr>
        <w:pStyle w:val="31"/>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2"/>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rPr>
      </w:pPr>
    </w:p>
    <w:p>
      <w:pPr>
        <w:rPr>
          <w:rFonts w:ascii="宋体" w:hAnsi="宋体"/>
          <w:b/>
          <w:bCs/>
          <w:sz w:val="24"/>
        </w:rPr>
      </w:pPr>
      <w:r>
        <w:rPr>
          <w:rFonts w:hint="eastAsia" w:ascii="宋体" w:hAnsi="宋体"/>
          <w:b/>
          <w:bCs/>
          <w:sz w:val="24"/>
        </w:rPr>
        <w:br w:type="page"/>
      </w:r>
    </w:p>
    <w:p>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pPr>
        <w:pStyle w:val="33"/>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pPr>
        <w:rPr>
          <w:rFonts w:ascii="宋体" w:hAnsi="宋体"/>
          <w:b/>
          <w:bCs/>
          <w:color w:val="000000"/>
          <w:sz w:val="28"/>
        </w:rPr>
      </w:pPr>
      <w:r>
        <w:rPr>
          <w:rFonts w:hint="eastAsia" w:ascii="宋体" w:hAnsi="宋体"/>
          <w:b/>
          <w:bCs/>
          <w:color w:val="000000"/>
          <w:sz w:val="28"/>
        </w:rPr>
        <w:br w:type="page"/>
      </w:r>
    </w:p>
    <w:p>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pPr>
        <w:rPr>
          <w:color w:val="000000"/>
          <w:sz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pPr>
        <w:autoSpaceDE w:val="0"/>
        <w:autoSpaceDN w:val="0"/>
        <w:adjustRightInd w:val="0"/>
        <w:spacing w:line="360" w:lineRule="auto"/>
        <w:ind w:right="-11"/>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rPr>
          <w:rFonts w:ascii="宋体" w:cs="宋体"/>
          <w:szCs w:val="21"/>
        </w:rPr>
      </w:pPr>
    </w:p>
    <w:p>
      <w:pPr>
        <w:pStyle w:val="28"/>
        <w:numPr>
          <w:ilvl w:val="0"/>
          <w:numId w:val="2"/>
        </w:numPr>
        <w:ind w:firstLine="562"/>
        <w:jc w:val="center"/>
        <w:rPr>
          <w:rFonts w:ascii="宋体" w:cs="宋体"/>
          <w:b/>
          <w:bCs/>
          <w:sz w:val="28"/>
          <w:szCs w:val="28"/>
        </w:rPr>
      </w:pPr>
      <w:r>
        <w:rPr>
          <w:rFonts w:hint="eastAsia" w:ascii="宋体" w:cs="宋体"/>
          <w:b/>
          <w:bCs/>
          <w:sz w:val="28"/>
          <w:szCs w:val="28"/>
        </w:rPr>
        <w:t>营业执照及资质证书</w:t>
      </w: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30"/>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提供营业执照及资质证书</w:t>
      </w:r>
      <w:r>
        <w:rPr>
          <w:rFonts w:hAnsi="宋体"/>
          <w:bCs/>
        </w:rPr>
        <w:t>复</w:t>
      </w:r>
      <w:r>
        <w:rPr>
          <w:rFonts w:hint="eastAsia" w:hAnsi="宋体"/>
          <w:bCs/>
        </w:rPr>
        <w:t>印件并盖公章】</w:t>
      </w: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0" w:firstLineChars="0"/>
        <w:jc w:val="center"/>
        <w:rPr>
          <w:rFonts w:ascii="宋体" w:cs="宋体"/>
          <w:szCs w:val="21"/>
        </w:rPr>
      </w:pPr>
    </w:p>
    <w:p>
      <w:pPr>
        <w:pStyle w:val="28"/>
        <w:ind w:firstLine="2530" w:firstLineChars="900"/>
        <w:rPr>
          <w:rFonts w:ascii="宋体" w:cs="宋体"/>
          <w:b/>
          <w:bCs/>
          <w:sz w:val="28"/>
          <w:szCs w:val="28"/>
        </w:rPr>
      </w:pPr>
      <w:r>
        <w:rPr>
          <w:rFonts w:hint="eastAsia" w:ascii="宋体" w:cs="宋体"/>
          <w:b/>
          <w:bCs/>
          <w:sz w:val="28"/>
          <w:szCs w:val="28"/>
        </w:rPr>
        <w:t>六、企业综合实力证明材料</w:t>
      </w: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firstLine="0" w:firstLineChars="0"/>
        <w:rPr>
          <w:rFonts w:ascii="宋体" w:cs="宋体"/>
          <w:b/>
          <w:bCs/>
          <w:sz w:val="28"/>
          <w:szCs w:val="28"/>
        </w:rPr>
      </w:pPr>
    </w:p>
    <w:p>
      <w:pPr>
        <w:pStyle w:val="28"/>
        <w:ind w:left="420" w:leftChars="200" w:firstLine="2249" w:firstLineChars="800"/>
        <w:rPr>
          <w:rFonts w:ascii="宋体" w:cs="宋体"/>
          <w:b/>
          <w:bCs/>
          <w:sz w:val="28"/>
          <w:szCs w:val="28"/>
        </w:rPr>
      </w:pPr>
      <w:r>
        <w:rPr>
          <w:rFonts w:hint="eastAsia" w:ascii="宋体" w:cs="宋体"/>
          <w:b/>
          <w:bCs/>
          <w:sz w:val="28"/>
          <w:szCs w:val="28"/>
        </w:rPr>
        <w:t>七、其他需要提供的资料</w:t>
      </w:r>
    </w:p>
    <w:p>
      <w:pPr>
        <w:pStyle w:val="28"/>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4026F36"/>
    <w:rsid w:val="0419413A"/>
    <w:rsid w:val="04320219"/>
    <w:rsid w:val="045D4134"/>
    <w:rsid w:val="04A101A3"/>
    <w:rsid w:val="04C1540A"/>
    <w:rsid w:val="0767229E"/>
    <w:rsid w:val="07B76CEE"/>
    <w:rsid w:val="07E43A81"/>
    <w:rsid w:val="07F901A3"/>
    <w:rsid w:val="084A0EA6"/>
    <w:rsid w:val="08555A09"/>
    <w:rsid w:val="08A24CBB"/>
    <w:rsid w:val="098C48BA"/>
    <w:rsid w:val="0A2C3C45"/>
    <w:rsid w:val="0AAB1104"/>
    <w:rsid w:val="0B0B35D9"/>
    <w:rsid w:val="0B555CEB"/>
    <w:rsid w:val="0BB305CD"/>
    <w:rsid w:val="0DF2626F"/>
    <w:rsid w:val="0E5A1497"/>
    <w:rsid w:val="0E8D2557"/>
    <w:rsid w:val="0EEB1D0A"/>
    <w:rsid w:val="10C7166C"/>
    <w:rsid w:val="10E074DB"/>
    <w:rsid w:val="134F4C56"/>
    <w:rsid w:val="146D5582"/>
    <w:rsid w:val="14836404"/>
    <w:rsid w:val="14BC5944"/>
    <w:rsid w:val="16132A43"/>
    <w:rsid w:val="168B2E32"/>
    <w:rsid w:val="170B5F46"/>
    <w:rsid w:val="17295B12"/>
    <w:rsid w:val="1762400A"/>
    <w:rsid w:val="178C784F"/>
    <w:rsid w:val="17DE3E23"/>
    <w:rsid w:val="180B1D8E"/>
    <w:rsid w:val="19127B31"/>
    <w:rsid w:val="1A4127AD"/>
    <w:rsid w:val="1BB76AC9"/>
    <w:rsid w:val="1BF946E9"/>
    <w:rsid w:val="1C1442B7"/>
    <w:rsid w:val="1DC8593B"/>
    <w:rsid w:val="1F221187"/>
    <w:rsid w:val="1F303B22"/>
    <w:rsid w:val="21566699"/>
    <w:rsid w:val="215C0A7C"/>
    <w:rsid w:val="22636EE2"/>
    <w:rsid w:val="22981942"/>
    <w:rsid w:val="22FC1980"/>
    <w:rsid w:val="23780CBF"/>
    <w:rsid w:val="23A26978"/>
    <w:rsid w:val="24C4749D"/>
    <w:rsid w:val="24DA152F"/>
    <w:rsid w:val="25384AFE"/>
    <w:rsid w:val="25AE20BB"/>
    <w:rsid w:val="2603796E"/>
    <w:rsid w:val="26093577"/>
    <w:rsid w:val="29284B1D"/>
    <w:rsid w:val="294C5571"/>
    <w:rsid w:val="2AB20E6B"/>
    <w:rsid w:val="2B0471A2"/>
    <w:rsid w:val="2C0E7C49"/>
    <w:rsid w:val="2CE35D0C"/>
    <w:rsid w:val="2D870D8D"/>
    <w:rsid w:val="2DB63777"/>
    <w:rsid w:val="2DDD0FD4"/>
    <w:rsid w:val="2E03208E"/>
    <w:rsid w:val="2EE04EF4"/>
    <w:rsid w:val="303C2C58"/>
    <w:rsid w:val="32480586"/>
    <w:rsid w:val="32FA33E2"/>
    <w:rsid w:val="3381154C"/>
    <w:rsid w:val="33D71052"/>
    <w:rsid w:val="36B70340"/>
    <w:rsid w:val="376C500E"/>
    <w:rsid w:val="397C1C5A"/>
    <w:rsid w:val="399552B8"/>
    <w:rsid w:val="399F50E1"/>
    <w:rsid w:val="3A094EC7"/>
    <w:rsid w:val="3A5F5F6F"/>
    <w:rsid w:val="3B3059DF"/>
    <w:rsid w:val="3BB34390"/>
    <w:rsid w:val="3BD83E3D"/>
    <w:rsid w:val="3BE948B2"/>
    <w:rsid w:val="3EAD09F5"/>
    <w:rsid w:val="3FCE5FBC"/>
    <w:rsid w:val="40051BF8"/>
    <w:rsid w:val="400D10B2"/>
    <w:rsid w:val="407055D6"/>
    <w:rsid w:val="41D37AFA"/>
    <w:rsid w:val="42484966"/>
    <w:rsid w:val="42B519E9"/>
    <w:rsid w:val="42C6151D"/>
    <w:rsid w:val="43A442C6"/>
    <w:rsid w:val="43D91523"/>
    <w:rsid w:val="43F73885"/>
    <w:rsid w:val="45B94D73"/>
    <w:rsid w:val="46D0453B"/>
    <w:rsid w:val="48710218"/>
    <w:rsid w:val="48E13021"/>
    <w:rsid w:val="49917942"/>
    <w:rsid w:val="49EB6F4A"/>
    <w:rsid w:val="4B091138"/>
    <w:rsid w:val="4B1D0463"/>
    <w:rsid w:val="4B6B3D7C"/>
    <w:rsid w:val="4B6C26CB"/>
    <w:rsid w:val="4C6D0D60"/>
    <w:rsid w:val="4CCE2312"/>
    <w:rsid w:val="4CEF2724"/>
    <w:rsid w:val="4D8B1D7C"/>
    <w:rsid w:val="4DA77104"/>
    <w:rsid w:val="4F09428B"/>
    <w:rsid w:val="4FDD0E7B"/>
    <w:rsid w:val="509318E3"/>
    <w:rsid w:val="50BB187B"/>
    <w:rsid w:val="50E25DFE"/>
    <w:rsid w:val="51E011C4"/>
    <w:rsid w:val="530E3B10"/>
    <w:rsid w:val="537D1635"/>
    <w:rsid w:val="53BB0720"/>
    <w:rsid w:val="54D779D8"/>
    <w:rsid w:val="559700CD"/>
    <w:rsid w:val="55B20DA6"/>
    <w:rsid w:val="55D83684"/>
    <w:rsid w:val="578A0EF5"/>
    <w:rsid w:val="5AEA4594"/>
    <w:rsid w:val="5B0E5D3C"/>
    <w:rsid w:val="5CB305FC"/>
    <w:rsid w:val="5E585F2B"/>
    <w:rsid w:val="5E983F45"/>
    <w:rsid w:val="5EA13181"/>
    <w:rsid w:val="5ED27B19"/>
    <w:rsid w:val="614B4DF2"/>
    <w:rsid w:val="61903065"/>
    <w:rsid w:val="6193388E"/>
    <w:rsid w:val="624B638D"/>
    <w:rsid w:val="626A3C89"/>
    <w:rsid w:val="62A9228E"/>
    <w:rsid w:val="632C4DC5"/>
    <w:rsid w:val="63A12BF9"/>
    <w:rsid w:val="64574D7B"/>
    <w:rsid w:val="669E0C34"/>
    <w:rsid w:val="66D76745"/>
    <w:rsid w:val="66E30DC8"/>
    <w:rsid w:val="6A0D758C"/>
    <w:rsid w:val="6A5A065B"/>
    <w:rsid w:val="6A655A1D"/>
    <w:rsid w:val="6AC95EDC"/>
    <w:rsid w:val="6C156E9B"/>
    <w:rsid w:val="6D09406B"/>
    <w:rsid w:val="6E942999"/>
    <w:rsid w:val="705B5C66"/>
    <w:rsid w:val="71B115E4"/>
    <w:rsid w:val="724A0B58"/>
    <w:rsid w:val="727238ED"/>
    <w:rsid w:val="72D05810"/>
    <w:rsid w:val="737C7D3B"/>
    <w:rsid w:val="73C65172"/>
    <w:rsid w:val="740C2D72"/>
    <w:rsid w:val="74DB35C2"/>
    <w:rsid w:val="750C27BD"/>
    <w:rsid w:val="75584146"/>
    <w:rsid w:val="76FD4590"/>
    <w:rsid w:val="77070231"/>
    <w:rsid w:val="78CE0040"/>
    <w:rsid w:val="78E8666B"/>
    <w:rsid w:val="7A6535D9"/>
    <w:rsid w:val="7A801A82"/>
    <w:rsid w:val="7B17735B"/>
    <w:rsid w:val="7BA23801"/>
    <w:rsid w:val="7C4902F7"/>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9"/>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6"/>
    <w:uiPriority w:val="0"/>
    <w:pPr>
      <w:tabs>
        <w:tab w:val="center" w:pos="4153"/>
        <w:tab w:val="right" w:pos="8306"/>
      </w:tabs>
      <w:snapToGrid w:val="0"/>
      <w:jc w:val="left"/>
    </w:pPr>
    <w:rPr>
      <w:sz w:val="18"/>
      <w:szCs w:val="18"/>
    </w:rPr>
  </w:style>
  <w:style w:type="paragraph" w:styleId="9">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character" w:styleId="15">
    <w:name w:val="FollowedHyperlink"/>
    <w:basedOn w:val="14"/>
    <w:qFormat/>
    <w:uiPriority w:val="0"/>
    <w:rPr>
      <w:color w:val="000000"/>
      <w:u w:val="none"/>
    </w:rPr>
  </w:style>
  <w:style w:type="character" w:styleId="16">
    <w:name w:val="Emphasis"/>
    <w:basedOn w:val="14"/>
    <w:qFormat/>
    <w:uiPriority w:val="0"/>
  </w:style>
  <w:style w:type="character" w:styleId="17">
    <w:name w:val="Hyperlink"/>
    <w:basedOn w:val="14"/>
    <w:qFormat/>
    <w:uiPriority w:val="0"/>
    <w:rPr>
      <w:color w:val="000000"/>
      <w:u w:val="none"/>
    </w:rPr>
  </w:style>
  <w:style w:type="character" w:customStyle="1" w:styleId="18">
    <w:name w:val="hover25"/>
    <w:basedOn w:val="14"/>
    <w:qFormat/>
    <w:uiPriority w:val="0"/>
  </w:style>
  <w:style w:type="character" w:customStyle="1" w:styleId="19">
    <w:name w:val="red"/>
    <w:basedOn w:val="14"/>
    <w:qFormat/>
    <w:uiPriority w:val="0"/>
    <w:rPr>
      <w:color w:val="FF0000"/>
      <w:sz w:val="18"/>
      <w:szCs w:val="18"/>
    </w:rPr>
  </w:style>
  <w:style w:type="character" w:customStyle="1" w:styleId="20">
    <w:name w:val="red1"/>
    <w:basedOn w:val="14"/>
    <w:qFormat/>
    <w:uiPriority w:val="0"/>
    <w:rPr>
      <w:color w:val="FF0000"/>
      <w:sz w:val="18"/>
      <w:szCs w:val="18"/>
    </w:rPr>
  </w:style>
  <w:style w:type="character" w:customStyle="1" w:styleId="21">
    <w:name w:val="red2"/>
    <w:basedOn w:val="14"/>
    <w:qFormat/>
    <w:uiPriority w:val="0"/>
    <w:rPr>
      <w:color w:val="CC0000"/>
    </w:rPr>
  </w:style>
  <w:style w:type="character" w:customStyle="1" w:styleId="22">
    <w:name w:val="red3"/>
    <w:basedOn w:val="14"/>
    <w:qFormat/>
    <w:uiPriority w:val="0"/>
    <w:rPr>
      <w:color w:val="FF0000"/>
    </w:rPr>
  </w:style>
  <w:style w:type="character" w:customStyle="1" w:styleId="23">
    <w:name w:val="green"/>
    <w:basedOn w:val="14"/>
    <w:qFormat/>
    <w:uiPriority w:val="0"/>
    <w:rPr>
      <w:color w:val="66AE00"/>
      <w:sz w:val="18"/>
      <w:szCs w:val="18"/>
    </w:rPr>
  </w:style>
  <w:style w:type="character" w:customStyle="1" w:styleId="24">
    <w:name w:val="green1"/>
    <w:basedOn w:val="14"/>
    <w:qFormat/>
    <w:uiPriority w:val="0"/>
    <w:rPr>
      <w:color w:val="66AE00"/>
      <w:sz w:val="18"/>
      <w:szCs w:val="18"/>
    </w:rPr>
  </w:style>
  <w:style w:type="character" w:customStyle="1" w:styleId="25">
    <w:name w:val="blue"/>
    <w:basedOn w:val="14"/>
    <w:qFormat/>
    <w:uiPriority w:val="0"/>
    <w:rPr>
      <w:color w:val="0371C6"/>
      <w:sz w:val="21"/>
      <w:szCs w:val="21"/>
    </w:rPr>
  </w:style>
  <w:style w:type="character" w:customStyle="1" w:styleId="26">
    <w:name w:val="right"/>
    <w:basedOn w:val="14"/>
    <w:qFormat/>
    <w:uiPriority w:val="0"/>
    <w:rPr>
      <w:color w:val="999999"/>
      <w:sz w:val="18"/>
      <w:szCs w:val="18"/>
    </w:rPr>
  </w:style>
  <w:style w:type="character" w:customStyle="1" w:styleId="27">
    <w:name w:val="gb-jt"/>
    <w:basedOn w:val="14"/>
    <w:qFormat/>
    <w:uiPriority w:val="0"/>
  </w:style>
  <w:style w:type="paragraph" w:customStyle="1" w:styleId="28">
    <w:name w:val="列出段落1"/>
    <w:basedOn w:val="1"/>
    <w:qFormat/>
    <w:uiPriority w:val="34"/>
    <w:pPr>
      <w:ind w:firstLine="420" w:firstLineChars="200"/>
    </w:pPr>
  </w:style>
  <w:style w:type="character" w:customStyle="1" w:styleId="29">
    <w:name w:val="标题 2 Char"/>
    <w:basedOn w:val="14"/>
    <w:link w:val="2"/>
    <w:qFormat/>
    <w:uiPriority w:val="0"/>
    <w:rPr>
      <w:rFonts w:ascii="Arial" w:hAnsi="Arial" w:eastAsia="黑体" w:cs="Times New Roman"/>
      <w:b/>
      <w:bCs/>
      <w:kern w:val="0"/>
      <w:sz w:val="32"/>
      <w:szCs w:val="32"/>
    </w:rPr>
  </w:style>
  <w:style w:type="paragraph" w:customStyle="1" w:styleId="30">
    <w:name w:val="正文文本缩进1"/>
    <w:basedOn w:val="1"/>
    <w:qFormat/>
    <w:uiPriority w:val="0"/>
    <w:pPr>
      <w:spacing w:line="360" w:lineRule="auto"/>
      <w:ind w:firstLine="480" w:firstLineChars="200"/>
    </w:pPr>
    <w:rPr>
      <w:rFonts w:ascii="宋体"/>
      <w:sz w:val="24"/>
    </w:rPr>
  </w:style>
  <w:style w:type="paragraph" w:customStyle="1" w:styleId="31">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2">
    <w:name w:val="日期1"/>
    <w:basedOn w:val="1"/>
    <w:next w:val="1"/>
    <w:qFormat/>
    <w:uiPriority w:val="0"/>
    <w:rPr>
      <w:sz w:val="24"/>
    </w:rPr>
  </w:style>
  <w:style w:type="paragraph" w:customStyle="1" w:styleId="3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页眉 Char"/>
    <w:basedOn w:val="14"/>
    <w:link w:val="9"/>
    <w:uiPriority w:val="0"/>
    <w:rPr>
      <w:rFonts w:ascii="Calibri" w:hAnsi="Calibri"/>
      <w:kern w:val="2"/>
      <w:sz w:val="18"/>
      <w:szCs w:val="18"/>
    </w:rPr>
  </w:style>
  <w:style w:type="character" w:customStyle="1" w:styleId="36">
    <w:name w:val="页脚 Char"/>
    <w:basedOn w:val="14"/>
    <w:link w:val="8"/>
    <w:uiPriority w:val="0"/>
    <w:rPr>
      <w:rFonts w:ascii="Calibri" w:hAnsi="Calibri"/>
      <w:kern w:val="2"/>
      <w:sz w:val="18"/>
      <w:szCs w:val="18"/>
    </w:rPr>
  </w:style>
  <w:style w:type="character" w:customStyle="1" w:styleId="37">
    <w:name w:val="hover"/>
    <w:basedOn w:val="14"/>
    <w:qFormat/>
    <w:uiPriority w:val="0"/>
    <w:rPr>
      <w:shd w:val="clear" w:fill="DE3232"/>
    </w:rPr>
  </w:style>
  <w:style w:type="character" w:customStyle="1" w:styleId="38">
    <w:name w:val="hover1"/>
    <w:basedOn w:val="14"/>
    <w:qFormat/>
    <w:uiPriority w:val="0"/>
  </w:style>
  <w:style w:type="character" w:customStyle="1" w:styleId="39">
    <w:name w:val="hover2"/>
    <w:basedOn w:val="14"/>
    <w:qFormat/>
    <w:uiPriority w:val="0"/>
    <w:rPr>
      <w:color w:val="C30000"/>
      <w:u w:val="none"/>
    </w:rPr>
  </w:style>
  <w:style w:type="character" w:customStyle="1" w:styleId="40">
    <w:name w:val="hover3"/>
    <w:basedOn w:val="14"/>
    <w:uiPriority w:val="0"/>
    <w:rPr>
      <w:color w:val="1A85D7"/>
    </w:rPr>
  </w:style>
  <w:style w:type="character" w:customStyle="1" w:styleId="41">
    <w:name w:val="hover4"/>
    <w:basedOn w:val="14"/>
    <w:qFormat/>
    <w:uiPriority w:val="0"/>
    <w:rPr>
      <w:color w:val="C30000"/>
    </w:rPr>
  </w:style>
  <w:style w:type="character" w:customStyle="1" w:styleId="42">
    <w:name w:val="hover5"/>
    <w:basedOn w:val="14"/>
    <w:uiPriority w:val="0"/>
    <w:rPr>
      <w:color w:val="C30000"/>
    </w:rPr>
  </w:style>
  <w:style w:type="character" w:customStyle="1" w:styleId="43">
    <w:name w:val="credit"/>
    <w:basedOn w:val="14"/>
    <w:qFormat/>
    <w:uiPriority w:val="0"/>
    <w:rPr>
      <w:sz w:val="18"/>
      <w:szCs w:val="18"/>
    </w:rPr>
  </w:style>
  <w:style w:type="character" w:customStyle="1" w:styleId="44">
    <w:name w:val="after"/>
    <w:basedOn w:val="14"/>
    <w:uiPriority w:val="0"/>
    <w:rPr>
      <w:bdr w:val="dashed" w:color="auto" w:sz="48" w:space="0"/>
    </w:rPr>
  </w:style>
  <w:style w:type="character" w:customStyle="1" w:styleId="45">
    <w:name w:val="after1"/>
    <w:basedOn w:val="14"/>
    <w:uiPriority w:val="0"/>
  </w:style>
  <w:style w:type="character" w:customStyle="1" w:styleId="46">
    <w:name w:val="after2"/>
    <w:basedOn w:val="14"/>
    <w:qFormat/>
    <w:uiPriority w:val="0"/>
  </w:style>
  <w:style w:type="character" w:customStyle="1" w:styleId="47">
    <w:name w:val="before1"/>
    <w:basedOn w:val="14"/>
    <w:qFormat/>
    <w:uiPriority w:val="0"/>
    <w:rPr>
      <w:bdr w:val="single" w:color="auto" w:sz="48" w:space="0"/>
    </w:rPr>
  </w:style>
  <w:style w:type="character" w:customStyle="1" w:styleId="48">
    <w:name w:val="before2"/>
    <w:basedOn w:val="14"/>
    <w:uiPriority w:val="0"/>
    <w:rPr>
      <w:shd w:val="clear" w:fill="C30000"/>
    </w:rPr>
  </w:style>
  <w:style w:type="character" w:customStyle="1" w:styleId="49">
    <w:name w:val="before3"/>
    <w:basedOn w:val="14"/>
    <w:uiPriority w:val="0"/>
  </w:style>
  <w:style w:type="character" w:customStyle="1" w:styleId="50">
    <w:name w:val="before4"/>
    <w:basedOn w:val="14"/>
    <w:qFormat/>
    <w:uiPriority w:val="0"/>
    <w:rPr>
      <w:rFonts w:hint="default" w:ascii="iconfontstat_1" w:hAnsi="iconfontstat_1" w:eastAsia="iconfontstat_1" w:cs="iconfontstat_1"/>
    </w:rPr>
  </w:style>
  <w:style w:type="character" w:customStyle="1" w:styleId="51">
    <w:name w:val="before5"/>
    <w:basedOn w:val="14"/>
    <w:qFormat/>
    <w:uiPriority w:val="0"/>
  </w:style>
  <w:style w:type="character" w:customStyle="1" w:styleId="52">
    <w:name w:val="before6"/>
    <w:basedOn w:val="14"/>
    <w:uiPriority w:val="0"/>
  </w:style>
  <w:style w:type="character" w:customStyle="1" w:styleId="53">
    <w:name w:val="before7"/>
    <w:basedOn w:val="14"/>
    <w:uiPriority w:val="0"/>
  </w:style>
  <w:style w:type="character" w:customStyle="1" w:styleId="54">
    <w:name w:val="before8"/>
    <w:basedOn w:val="14"/>
    <w:qFormat/>
    <w:uiPriority w:val="0"/>
  </w:style>
  <w:style w:type="character" w:customStyle="1" w:styleId="55">
    <w:name w:val="before9"/>
    <w:basedOn w:val="14"/>
    <w:qFormat/>
    <w:uiPriority w:val="0"/>
  </w:style>
  <w:style w:type="character" w:customStyle="1" w:styleId="56">
    <w:name w:val="before10"/>
    <w:basedOn w:val="14"/>
    <w:qFormat/>
    <w:uiPriority w:val="0"/>
  </w:style>
  <w:style w:type="character" w:customStyle="1" w:styleId="57">
    <w:name w:val="before11"/>
    <w:basedOn w:val="14"/>
    <w:qFormat/>
    <w:uiPriority w:val="0"/>
  </w:style>
  <w:style w:type="character" w:customStyle="1" w:styleId="58">
    <w:name w:val="before12"/>
    <w:basedOn w:val="14"/>
    <w:qFormat/>
    <w:uiPriority w:val="0"/>
  </w:style>
  <w:style w:type="character" w:customStyle="1" w:styleId="59">
    <w:name w:val="first-child"/>
    <w:basedOn w:val="14"/>
    <w:qFormat/>
    <w:uiPriority w:val="0"/>
    <w:rPr>
      <w:shd w:val="clear" w:fill="C30000"/>
    </w:rPr>
  </w:style>
  <w:style w:type="character" w:customStyle="1" w:styleId="60">
    <w:name w:val="first-child1"/>
    <w:basedOn w:val="14"/>
    <w:qFormat/>
    <w:uiPriority w:val="0"/>
  </w:style>
  <w:style w:type="character" w:customStyle="1" w:styleId="61">
    <w:name w:val="last-child"/>
    <w:basedOn w:val="14"/>
    <w:qFormat/>
    <w:uiPriority w:val="0"/>
  </w:style>
  <w:style w:type="character" w:customStyle="1" w:styleId="62">
    <w:name w:val="active2"/>
    <w:basedOn w:val="14"/>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12</Pages>
  <Words>533</Words>
  <Characters>3044</Characters>
  <Lines>25</Lines>
  <Paragraphs>7</Paragraphs>
  <TotalTime>131</TotalTime>
  <ScaleCrop>false</ScaleCrop>
  <LinksUpToDate>false</LinksUpToDate>
  <CharactersWithSpaces>3570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2023-11-21T23:59:00Z</cp:lastPrinted>
  <dcterms:modified xsi:type="dcterms:W3CDTF">2023-11-23T06:45:37Z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EEB6794E0DEE4104AA7E7B0DBC285B59_13</vt:lpwstr>
  </property>
</Properties>
</file>