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7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5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分值构成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(总分 100 分)</w:t>
            </w:r>
          </w:p>
        </w:tc>
        <w:tc>
          <w:tcPr>
            <w:tcW w:w="5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服务方案部分：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分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业绩人员部分：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分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投标报价：20分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8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评标基准价计算方法</w:t>
            </w:r>
          </w:p>
        </w:tc>
        <w:tc>
          <w:tcPr>
            <w:tcW w:w="5620" w:type="dxa"/>
            <w:noWrap w:val="0"/>
            <w:vAlign w:val="center"/>
          </w:tcPr>
          <w:p>
            <w:pPr>
              <w:widowControl/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评标价的确定：</w:t>
            </w:r>
          </w:p>
          <w:p>
            <w:pPr>
              <w:widowControl/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评标价＝投标函报价（大写）</w:t>
            </w:r>
          </w:p>
          <w:p>
            <w:pPr>
              <w:widowControl/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1.当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</w:rPr>
              <w:t>有效投标人数量小于5家时，直接计算平均值； 当有效投标人数量大于5家（含5家）时，所有有效投标人的评标价扣除一个最高和一个最低后计算平均值；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</w:rPr>
              <w:t>.评标基准价=各有效报价的平均值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投标报价的偏差率计算公式</w:t>
            </w:r>
          </w:p>
        </w:tc>
        <w:tc>
          <w:tcPr>
            <w:tcW w:w="56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偏差率=100%×（投标报价－评标基准价）/评标基准价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注：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偏差率四舍五入，保留两位小数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pStyle w:val="7"/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评分因素</w:t>
            </w:r>
          </w:p>
        </w:tc>
        <w:tc>
          <w:tcPr>
            <w:tcW w:w="5620" w:type="dxa"/>
            <w:noWrap w:val="0"/>
            <w:vAlign w:val="center"/>
          </w:tcPr>
          <w:p>
            <w:pPr>
              <w:pStyle w:val="7"/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0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firstLine="210" w:firstLineChars="100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服务方案（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分）</w:t>
            </w:r>
          </w:p>
        </w:tc>
        <w:tc>
          <w:tcPr>
            <w:tcW w:w="5620" w:type="dxa"/>
            <w:noWrap w:val="0"/>
            <w:vAlign w:val="center"/>
          </w:tcPr>
          <w:p>
            <w:pPr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1"/>
                <w:szCs w:val="21"/>
              </w:rPr>
              <w:t>1.整体工作方案：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  <w:t>对资产评估工作组织安排、工作重点、问题与情况分析到位，措施得当，制定的服务方案能够保证项目的顺利完成，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表述较好者得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分，一般者得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分，较差者得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分，缺项不得分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.人员配置：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按人员配备的是否充足、合理，较好得5-6分，一般者得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-5分，较差者得3-4分，缺项不得分。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.质量控制：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按是否具有完善的质量控制制度、执行标准和内部管理制度。较好得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分，一般者得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分，较差者得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分，缺项不得分。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9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投标人业绩（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分）</w:t>
            </w:r>
          </w:p>
        </w:tc>
        <w:tc>
          <w:tcPr>
            <w:tcW w:w="562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年1月1日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以来，每提供1项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不动产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评估项目业绩加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分，最高加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分。</w:t>
            </w:r>
          </w:p>
          <w:p>
            <w:pPr>
              <w:numPr>
                <w:ilvl w:val="0"/>
                <w:numId w:val="1"/>
              </w:numPr>
              <w:autoSpaceDE/>
              <w:autoSpaceDN/>
              <w:adjustRightInd/>
              <w:spacing w:line="360" w:lineRule="auto"/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年1月1日以来，每提供1项服务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合同金额不低于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万元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不动产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价值评估项目业绩加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分，最高加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.</w:t>
            </w:r>
          </w:p>
          <w:p>
            <w:pPr>
              <w:autoSpaceDE/>
              <w:autoSpaceDN/>
              <w:adjustRightInd/>
              <w:spacing w:line="360" w:lineRule="auto"/>
              <w:ind w:firstLine="422" w:firstLineChars="20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</w:rPr>
              <w:t>注：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同一业绩不重复加分，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须提供合同协议书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pStyle w:val="2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524" w:leftChars="87" w:hanging="315" w:hangingChars="15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项目负责人资格与业绩（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分）</w:t>
            </w:r>
          </w:p>
          <w:p>
            <w:pPr>
              <w:pStyle w:val="10"/>
              <w:spacing w:after="0" w:line="360" w:lineRule="auto"/>
              <w:ind w:firstLine="24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5620" w:type="dxa"/>
            <w:noWrap w:val="0"/>
            <w:vAlign w:val="center"/>
          </w:tcPr>
          <w:p>
            <w:pPr>
              <w:autoSpaceDE/>
              <w:autoSpaceDN/>
              <w:adjustRightInd/>
              <w:spacing w:line="360" w:lineRule="auto"/>
              <w:ind w:right="120" w:rightChars="5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年1月1日以来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，每提供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1项担任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不动产评估业务项目负责人业绩加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分，最高加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分。</w:t>
            </w:r>
          </w:p>
          <w:p>
            <w:pPr>
              <w:numPr>
                <w:ilvl w:val="0"/>
                <w:numId w:val="2"/>
              </w:numPr>
              <w:autoSpaceDE/>
              <w:autoSpaceDN/>
              <w:adjustRightInd/>
              <w:spacing w:line="360" w:lineRule="auto"/>
              <w:ind w:right="120" w:rightChars="5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年1月1日以来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，每提供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1项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服务合同金额不低于15万元不动产价值评估业务项目负责人的业绩加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分，最高加6分。</w:t>
            </w:r>
          </w:p>
          <w:p>
            <w:pPr>
              <w:numPr>
                <w:ilvl w:val="0"/>
                <w:numId w:val="2"/>
              </w:numPr>
              <w:autoSpaceDE/>
              <w:autoSpaceDN/>
              <w:adjustRightInd/>
              <w:spacing w:line="360" w:lineRule="auto"/>
              <w:ind w:right="120" w:rightChars="5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项目负责人取得资产评估师资格证书超过5年不满10年（以初次登记时间为准）得2分；项目负责人取得资产评估师资格证书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以下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（含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年，以初次登记时间为准），得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分，否则不得分。</w:t>
            </w:r>
          </w:p>
          <w:p>
            <w:pPr>
              <w:spacing w:line="360" w:lineRule="auto"/>
              <w:ind w:left="120" w:leftChars="50" w:right="120" w:rightChars="5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注：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.同一业绩不重复加分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  <w:lang w:val="en-US" w:eastAsia="zh-CN"/>
              </w:rPr>
              <w:t>;2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.该负责人须为后续实施资产评估工作的项目负责人，除非经招标人同意，不允许变更。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firstLine="105" w:firstLineChars="5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机构备案人员</w:t>
            </w:r>
          </w:p>
          <w:p>
            <w:pPr>
              <w:spacing w:line="360" w:lineRule="auto"/>
              <w:ind w:firstLine="105" w:firstLineChars="5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分）</w:t>
            </w:r>
          </w:p>
        </w:tc>
        <w:tc>
          <w:tcPr>
            <w:tcW w:w="5620" w:type="dxa"/>
            <w:noWrap w:val="0"/>
            <w:vAlign w:val="center"/>
          </w:tcPr>
          <w:p>
            <w:pPr>
              <w:autoSpaceDE/>
              <w:autoSpaceDN/>
              <w:adjustRightInd/>
              <w:spacing w:line="0" w:lineRule="atLeas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根据评估机构资产评估师备案人数为标准。</w:t>
            </w:r>
          </w:p>
          <w:p>
            <w:pPr>
              <w:autoSpaceDE/>
              <w:autoSpaceDN/>
              <w:adjustRightInd/>
              <w:spacing w:line="0" w:lineRule="atLeas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人数10人（含）以上，得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分；</w:t>
            </w:r>
          </w:p>
          <w:p>
            <w:pPr>
              <w:autoSpaceDE/>
              <w:autoSpaceDN/>
              <w:adjustRightInd/>
              <w:spacing w:line="0" w:lineRule="atLeas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人数8人（含）-10人，得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分；</w:t>
            </w:r>
          </w:p>
          <w:p>
            <w:pPr>
              <w:autoSpaceDE/>
              <w:autoSpaceDN/>
              <w:adjustRightInd/>
              <w:spacing w:line="0" w:lineRule="atLeas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人数6人（含）-8人，得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分；</w:t>
            </w:r>
          </w:p>
          <w:p>
            <w:pPr>
              <w:autoSpaceDE/>
              <w:autoSpaceDN/>
              <w:adjustRightInd/>
              <w:spacing w:line="0" w:lineRule="atLeas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人数6人以下，得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分。</w:t>
            </w:r>
          </w:p>
          <w:p>
            <w:pPr>
              <w:spacing w:line="360" w:lineRule="auto"/>
              <w:ind w:firstLine="105" w:firstLineChars="5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备注：人数以中国资产评估协会官网查询截图为准，截图时间必须在本项目公告发布之日后，截图时间以网页自带时间为准）。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firstLine="105" w:firstLineChars="50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投标报价（20分）</w:t>
            </w:r>
          </w:p>
        </w:tc>
        <w:tc>
          <w:tcPr>
            <w:tcW w:w="56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评标价得分计算公式示例：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（1）如果投标人的评标价&gt;评标基准价，则评标价得分＝F－偏差率×100×E1；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（2）如果投标人的评标价≤评标基准价，则评标价得分＝F＋偏差率×100×E2。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其中：F=20 是评标价所占的权重分值，E1=0.5；  E2=0.3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注：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E1是评标价每高于评标基准价一个百分点的扣分值，E2是评标价每低于评标基准价一个百分点的扣分值；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63EEAA"/>
    <w:multiLevelType w:val="singleLevel"/>
    <w:tmpl w:val="D063EEA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F3E1DC"/>
    <w:multiLevelType w:val="singleLevel"/>
    <w:tmpl w:val="04F3E1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mZkNjViZTllZjZlZDRkNTMyODMwNTI0NjFmNjQifQ=="/>
  </w:docVars>
  <w:rsids>
    <w:rsidRoot w:val="00000000"/>
    <w:rsid w:val="0E097B78"/>
    <w:rsid w:val="163D46B7"/>
    <w:rsid w:val="17343601"/>
    <w:rsid w:val="1BEB5819"/>
    <w:rsid w:val="1DF00869"/>
    <w:rsid w:val="3A970136"/>
    <w:rsid w:val="48C80EE3"/>
    <w:rsid w:val="5FC63A89"/>
    <w:rsid w:val="665C49EF"/>
    <w:rsid w:val="6E1271AF"/>
    <w:rsid w:val="76794BDF"/>
    <w:rsid w:val="78AE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adjustRightInd w:val="0"/>
    </w:pPr>
    <w:rPr>
      <w:rFonts w:hint="eastAsia" w:ascii="Times New Roman" w:hAnsi="Times New Roman" w:eastAsia="宋体" w:cs="Times New Roman"/>
      <w:sz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618"/>
      <w:outlineLvl w:val="0"/>
    </w:pPr>
    <w:rPr>
      <w:rFonts w:hint="default" w:ascii="宋体"/>
      <w:sz w:val="56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unhideWhenUsed/>
    <w:qFormat/>
    <w:uiPriority w:val="1"/>
    <w:pPr>
      <w:ind w:left="102"/>
    </w:pPr>
    <w:rPr>
      <w:rFonts w:eastAsia="Times New Roman"/>
    </w:rPr>
  </w:style>
  <w:style w:type="paragraph" w:styleId="4">
    <w:name w:val="header"/>
    <w:basedOn w:val="1"/>
    <w:next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Times New Roman"/>
      <w:sz w:val="18"/>
    </w:rPr>
  </w:style>
  <w:style w:type="paragraph" w:customStyle="1" w:styleId="5">
    <w:name w:val="_Style 4"/>
    <w:basedOn w:val="1"/>
    <w:next w:val="1"/>
    <w:qFormat/>
    <w:uiPriority w:val="99"/>
    <w:pPr>
      <w:ind w:left="864" w:right="864"/>
      <w:jc w:val="center"/>
    </w:pPr>
    <w:rPr>
      <w:rFonts w:ascii="Times New Roman" w:hAnsi="Times New Roman" w:cs="Times New Roman"/>
      <w:i/>
      <w:iCs/>
      <w:color w:val="404040"/>
      <w:szCs w:val="21"/>
    </w:rPr>
  </w:style>
  <w:style w:type="paragraph" w:styleId="6">
    <w:name w:val="Body Text Indent"/>
    <w:basedOn w:val="1"/>
    <w:next w:val="7"/>
    <w:qFormat/>
    <w:uiPriority w:val="0"/>
    <w:pPr>
      <w:autoSpaceDE/>
      <w:autoSpaceDN/>
      <w:spacing w:after="120"/>
      <w:ind w:left="200" w:leftChars="200"/>
      <w:jc w:val="both"/>
    </w:pPr>
    <w:rPr>
      <w:rFonts w:ascii="Times New Roman" w:hAnsi="Times New Roman" w:cs="Times New Roman"/>
      <w:kern w:val="2"/>
      <w:sz w:val="21"/>
      <w:szCs w:val="24"/>
      <w:lang w:bidi="ar-SA"/>
    </w:rPr>
  </w:style>
  <w:style w:type="paragraph" w:customStyle="1" w:styleId="7">
    <w:name w:val="Default"/>
    <w:next w:val="8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8">
    <w:name w:val="大标题"/>
    <w:basedOn w:val="1"/>
    <w:next w:val="9"/>
    <w:qFormat/>
    <w:uiPriority w:val="0"/>
    <w:pPr>
      <w:jc w:val="center"/>
    </w:pPr>
    <w:rPr>
      <w:rFonts w:ascii="Arial" w:hAnsi="Arial" w:eastAsia="宋体"/>
      <w:b/>
      <w:sz w:val="28"/>
      <w:szCs w:val="24"/>
    </w:rPr>
  </w:style>
  <w:style w:type="paragraph" w:styleId="9">
    <w:name w:val="Body Text First Indent 2"/>
    <w:basedOn w:val="6"/>
    <w:next w:val="1"/>
    <w:qFormat/>
    <w:uiPriority w:val="0"/>
    <w:pPr>
      <w:ind w:firstLine="200" w:firstLineChars="200"/>
    </w:pPr>
  </w:style>
  <w:style w:type="paragraph" w:styleId="10">
    <w:name w:val="Body Text First Indent"/>
    <w:basedOn w:val="3"/>
    <w:next w:val="9"/>
    <w:unhideWhenUsed/>
    <w:qFormat/>
    <w:uiPriority w:val="99"/>
    <w:pPr>
      <w:autoSpaceDE/>
      <w:autoSpaceDN/>
      <w:adjustRightInd/>
      <w:spacing w:after="120"/>
      <w:ind w:left="0" w:firstLine="420" w:firstLineChars="100"/>
      <w:jc w:val="both"/>
    </w:pPr>
    <w:rPr>
      <w:rFonts w:hint="default" w:ascii="Calibri" w:hAnsi="Calibri" w:eastAsia="宋体"/>
      <w:kern w:val="2"/>
      <w:sz w:val="21"/>
      <w:szCs w:val="22"/>
    </w:rPr>
  </w:style>
  <w:style w:type="paragraph" w:customStyle="1" w:styleId="13">
    <w:name w:val="标题 2_5"/>
    <w:basedOn w:val="1"/>
    <w:next w:val="1"/>
    <w:qFormat/>
    <w:uiPriority w:val="9"/>
    <w:pPr>
      <w:keepNext/>
      <w:keepLines/>
      <w:autoSpaceDE/>
      <w:autoSpaceDN/>
      <w:adjustRightInd/>
      <w:spacing w:before="260" w:after="260" w:line="416" w:lineRule="auto"/>
      <w:jc w:val="both"/>
      <w:outlineLvl w:val="1"/>
    </w:pPr>
    <w:rPr>
      <w:rFonts w:hint="default"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2023-11-01T06:14:00Z</dcterms:created>
  <dc:creator>我的电脑</dc:creator>
  <cp:lastModifiedBy>美喵喵</cp:lastModifiedBy>
  <dcterms:modified xsi:type="dcterms:W3CDTF">2023-11-08T00:36:07Z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6D2816B0B7B14FFC94E26D3E200E3E86_13</vt:lpwstr>
  </property>
</Properties>
</file>